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4E3B2" w14:textId="189A2CE2" w:rsidR="002B054D" w:rsidRDefault="00BA7A86" w:rsidP="00815958">
      <w:pPr>
        <w:rPr>
          <w:b/>
          <w:lang w:val="en-US"/>
        </w:rPr>
      </w:pPr>
      <w:r>
        <w:rPr>
          <w:b/>
          <w:lang w:val="en-US"/>
        </w:rPr>
        <w:t>Township of Esquimalt –</w:t>
      </w:r>
      <w:r w:rsidR="002F5C3C">
        <w:rPr>
          <w:b/>
          <w:lang w:val="en-US"/>
        </w:rPr>
        <w:t>D</w:t>
      </w:r>
      <w:r>
        <w:rPr>
          <w:b/>
          <w:lang w:val="en-US"/>
        </w:rPr>
        <w:t xml:space="preserve">etached Accessory Dwelling Unit </w:t>
      </w:r>
      <w:r w:rsidR="00CC0008">
        <w:rPr>
          <w:b/>
          <w:lang w:val="en-US"/>
        </w:rPr>
        <w:t>Regulatory Framework</w:t>
      </w:r>
    </w:p>
    <w:p w14:paraId="5F9FD830" w14:textId="65F9A651" w:rsidR="008D1DFC" w:rsidRPr="00397656" w:rsidRDefault="00397656" w:rsidP="00815958">
      <w:pPr>
        <w:rPr>
          <w:b/>
          <w:i/>
          <w:lang w:val="en-US"/>
        </w:rPr>
      </w:pPr>
      <w:r w:rsidRPr="00397656">
        <w:rPr>
          <w:b/>
          <w:i/>
          <w:lang w:val="en-US"/>
        </w:rPr>
        <w:t>ELIGIBILITY</w:t>
      </w:r>
      <w:r w:rsidR="003D3D9D">
        <w:rPr>
          <w:b/>
          <w:i/>
          <w:lang w:val="en-US"/>
        </w:rPr>
        <w:t xml:space="preserve"> for </w:t>
      </w:r>
      <w:r w:rsidR="00A2220A">
        <w:rPr>
          <w:b/>
          <w:i/>
          <w:lang w:val="en-US"/>
        </w:rPr>
        <w:t>DADU</w:t>
      </w:r>
    </w:p>
    <w:tbl>
      <w:tblPr>
        <w:tblStyle w:val="LightShading-Accent1"/>
        <w:tblW w:w="13149" w:type="dxa"/>
        <w:tblCellMar>
          <w:top w:w="28" w:type="dxa"/>
        </w:tblCellMar>
        <w:tblLook w:val="04A0" w:firstRow="1" w:lastRow="0" w:firstColumn="1" w:lastColumn="0" w:noHBand="0" w:noVBand="1"/>
      </w:tblPr>
      <w:tblGrid>
        <w:gridCol w:w="3438"/>
        <w:gridCol w:w="3438"/>
        <w:gridCol w:w="6273"/>
      </w:tblGrid>
      <w:tr w:rsidR="008B2836" w:rsidRPr="008B2836" w14:paraId="34AE3641" w14:textId="77777777" w:rsidTr="00445CF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38" w:type="dxa"/>
            <w:shd w:val="clear" w:color="auto" w:fill="8DB3E2" w:themeFill="text2" w:themeFillTint="66"/>
          </w:tcPr>
          <w:p w14:paraId="12358FF1" w14:textId="77777777" w:rsidR="004D0FA8" w:rsidRPr="008B2836" w:rsidRDefault="00472CE9" w:rsidP="0016480A">
            <w:pPr>
              <w:rPr>
                <w:color w:val="FFFFFF" w:themeColor="background1"/>
                <w:lang w:val="en-US"/>
              </w:rPr>
            </w:pPr>
            <w:r w:rsidRPr="008B2836">
              <w:rPr>
                <w:color w:val="FFFFFF" w:themeColor="background1"/>
                <w:lang w:val="en-US"/>
              </w:rPr>
              <w:t>Regulation</w:t>
            </w:r>
          </w:p>
        </w:tc>
        <w:tc>
          <w:tcPr>
            <w:tcW w:w="3438" w:type="dxa"/>
            <w:shd w:val="clear" w:color="auto" w:fill="8DB3E2" w:themeFill="text2" w:themeFillTint="66"/>
          </w:tcPr>
          <w:p w14:paraId="2BDFD69C" w14:textId="77777777" w:rsidR="004D0FA8" w:rsidRPr="008B2836" w:rsidRDefault="004D0FA8" w:rsidP="0016480A">
            <w:pPr>
              <w:cnfStyle w:val="100000000000" w:firstRow="1" w:lastRow="0" w:firstColumn="0" w:lastColumn="0" w:oddVBand="0" w:evenVBand="0" w:oddHBand="0" w:evenHBand="0" w:firstRowFirstColumn="0" w:firstRowLastColumn="0" w:lastRowFirstColumn="0" w:lastRowLastColumn="0"/>
              <w:rPr>
                <w:color w:val="FFFFFF" w:themeColor="background1"/>
                <w:lang w:val="en-US"/>
              </w:rPr>
            </w:pPr>
            <w:r w:rsidRPr="008B2836">
              <w:rPr>
                <w:color w:val="FFFFFF" w:themeColor="background1"/>
                <w:lang w:val="en-US"/>
              </w:rPr>
              <w:t>Proposed</w:t>
            </w:r>
          </w:p>
        </w:tc>
        <w:tc>
          <w:tcPr>
            <w:tcW w:w="6273" w:type="dxa"/>
            <w:shd w:val="clear" w:color="auto" w:fill="8DB3E2" w:themeFill="text2" w:themeFillTint="66"/>
          </w:tcPr>
          <w:p w14:paraId="4538F224" w14:textId="77777777" w:rsidR="004D0FA8" w:rsidRPr="008B2836" w:rsidRDefault="004D0FA8" w:rsidP="0016480A">
            <w:pPr>
              <w:cnfStyle w:val="100000000000" w:firstRow="1" w:lastRow="0" w:firstColumn="0" w:lastColumn="0" w:oddVBand="0" w:evenVBand="0" w:oddHBand="0" w:evenHBand="0" w:firstRowFirstColumn="0" w:firstRowLastColumn="0" w:lastRowFirstColumn="0" w:lastRowLastColumn="0"/>
              <w:rPr>
                <w:color w:val="FFFFFF" w:themeColor="background1"/>
                <w:lang w:val="en-US"/>
              </w:rPr>
            </w:pPr>
            <w:r w:rsidRPr="008B2836">
              <w:rPr>
                <w:color w:val="FFFFFF" w:themeColor="background1"/>
                <w:lang w:val="en-US"/>
              </w:rPr>
              <w:t>Rationale</w:t>
            </w:r>
          </w:p>
        </w:tc>
      </w:tr>
      <w:tr w:rsidR="008A4A25" w14:paraId="6BB0033B" w14:textId="77777777" w:rsidTr="00445C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38" w:type="dxa"/>
          </w:tcPr>
          <w:p w14:paraId="1A643A07" w14:textId="77777777" w:rsidR="008A4A25" w:rsidRPr="0047259D" w:rsidRDefault="008A4A25" w:rsidP="00EC6F8C">
            <w:r w:rsidRPr="0047259D">
              <w:t>OCP Proposed land use designation</w:t>
            </w:r>
          </w:p>
        </w:tc>
        <w:tc>
          <w:tcPr>
            <w:tcW w:w="3438" w:type="dxa"/>
          </w:tcPr>
          <w:p w14:paraId="1212CCED" w14:textId="77777777" w:rsidR="008A4A25" w:rsidRPr="0047259D" w:rsidRDefault="008A4A25" w:rsidP="00EC6F8C">
            <w:pPr>
              <w:cnfStyle w:val="000000100000" w:firstRow="0" w:lastRow="0" w:firstColumn="0" w:lastColumn="0" w:oddVBand="0" w:evenVBand="0" w:oddHBand="1" w:evenHBand="0" w:firstRowFirstColumn="0" w:firstRowLastColumn="0" w:lastRowFirstColumn="0" w:lastRowLastColumn="0"/>
            </w:pPr>
            <w:r w:rsidRPr="0047259D">
              <w:t>Low density residential only</w:t>
            </w:r>
          </w:p>
        </w:tc>
        <w:tc>
          <w:tcPr>
            <w:tcW w:w="6273" w:type="dxa"/>
          </w:tcPr>
          <w:p w14:paraId="764C6448" w14:textId="77777777" w:rsidR="008A4A25" w:rsidRDefault="008A4A25" w:rsidP="00EC6F8C">
            <w:pPr>
              <w:cnfStyle w:val="000000100000" w:firstRow="0" w:lastRow="0" w:firstColumn="0" w:lastColumn="0" w:oddVBand="0" w:evenVBand="0" w:oddHBand="1" w:evenHBand="0" w:firstRowFirstColumn="0" w:firstRowLastColumn="0" w:lastRowFirstColumn="0" w:lastRowLastColumn="0"/>
            </w:pPr>
            <w:r w:rsidRPr="0047259D">
              <w:t>Already in OCP policy</w:t>
            </w:r>
          </w:p>
        </w:tc>
      </w:tr>
      <w:tr w:rsidR="008A4A25" w14:paraId="12F64A54" w14:textId="77777777" w:rsidTr="00445CFF">
        <w:trPr>
          <w:trHeight w:val="283"/>
        </w:trPr>
        <w:tc>
          <w:tcPr>
            <w:cnfStyle w:val="001000000000" w:firstRow="0" w:lastRow="0" w:firstColumn="1" w:lastColumn="0" w:oddVBand="0" w:evenVBand="0" w:oddHBand="0" w:evenHBand="0" w:firstRowFirstColumn="0" w:firstRowLastColumn="0" w:lastRowFirstColumn="0" w:lastRowLastColumn="0"/>
            <w:tcW w:w="3438" w:type="dxa"/>
          </w:tcPr>
          <w:p w14:paraId="5A78EFFC" w14:textId="77777777" w:rsidR="008A4A25" w:rsidRDefault="008A4A25" w:rsidP="00EC6F8C">
            <w:pPr>
              <w:rPr>
                <w:lang w:val="en-US"/>
              </w:rPr>
            </w:pPr>
            <w:r>
              <w:rPr>
                <w:lang w:val="en-US"/>
              </w:rPr>
              <w:t>Where zoned for B&amp;B</w:t>
            </w:r>
          </w:p>
        </w:tc>
        <w:tc>
          <w:tcPr>
            <w:tcW w:w="3438" w:type="dxa"/>
          </w:tcPr>
          <w:p w14:paraId="6C9B72A2" w14:textId="77777777" w:rsidR="008A4A25" w:rsidRDefault="008A4A25" w:rsidP="00EC6F8C">
            <w:pPr>
              <w:cnfStyle w:val="000000000000" w:firstRow="0" w:lastRow="0" w:firstColumn="0" w:lastColumn="0" w:oddVBand="0" w:evenVBand="0" w:oddHBand="0" w:evenHBand="0" w:firstRowFirstColumn="0" w:firstRowLastColumn="0" w:lastRowFirstColumn="0" w:lastRowLastColumn="0"/>
              <w:rPr>
                <w:lang w:val="en-US"/>
              </w:rPr>
            </w:pPr>
            <w:r>
              <w:rPr>
                <w:lang w:val="en-US"/>
              </w:rPr>
              <w:t>Not permitted</w:t>
            </w:r>
          </w:p>
        </w:tc>
        <w:tc>
          <w:tcPr>
            <w:tcW w:w="6273" w:type="dxa"/>
          </w:tcPr>
          <w:p w14:paraId="228993C2" w14:textId="77777777" w:rsidR="008A4A25" w:rsidRDefault="008A4A25" w:rsidP="00EC6F8C">
            <w:pPr>
              <w:cnfStyle w:val="000000000000" w:firstRow="0" w:lastRow="0" w:firstColumn="0" w:lastColumn="0" w:oddVBand="0" w:evenVBand="0" w:oddHBand="0" w:evenHBand="0" w:firstRowFirstColumn="0" w:firstRowLastColumn="0" w:lastRowFirstColumn="0" w:lastRowLastColumn="0"/>
              <w:rPr>
                <w:lang w:val="en-US"/>
              </w:rPr>
            </w:pPr>
            <w:r>
              <w:rPr>
                <w:lang w:val="en-US"/>
              </w:rPr>
              <w:t>Standard practice</w:t>
            </w:r>
          </w:p>
        </w:tc>
      </w:tr>
      <w:tr w:rsidR="008A4A25" w14:paraId="462EF68C" w14:textId="77777777" w:rsidTr="00445C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38" w:type="dxa"/>
          </w:tcPr>
          <w:p w14:paraId="0D8E2B9F" w14:textId="77777777" w:rsidR="008A4A25" w:rsidRDefault="00BA7A86" w:rsidP="00BA7A86">
            <w:pPr>
              <w:rPr>
                <w:lang w:val="en-US"/>
              </w:rPr>
            </w:pPr>
            <w:r>
              <w:rPr>
                <w:lang w:val="en-US"/>
              </w:rPr>
              <w:t>Where a secondary suite, DADU.</w:t>
            </w:r>
          </w:p>
        </w:tc>
        <w:tc>
          <w:tcPr>
            <w:tcW w:w="3438" w:type="dxa"/>
          </w:tcPr>
          <w:p w14:paraId="222C2198" w14:textId="77777777" w:rsidR="008A4A25" w:rsidRDefault="008A4A25" w:rsidP="00EC6F8C">
            <w:pPr>
              <w:cnfStyle w:val="000000100000" w:firstRow="0" w:lastRow="0" w:firstColumn="0" w:lastColumn="0" w:oddVBand="0" w:evenVBand="0" w:oddHBand="1" w:evenHBand="0" w:firstRowFirstColumn="0" w:firstRowLastColumn="0" w:lastRowFirstColumn="0" w:lastRowLastColumn="0"/>
              <w:rPr>
                <w:lang w:val="en-US"/>
              </w:rPr>
            </w:pPr>
            <w:r>
              <w:rPr>
                <w:lang w:val="en-US"/>
              </w:rPr>
              <w:t>Not permitted</w:t>
            </w:r>
          </w:p>
        </w:tc>
        <w:tc>
          <w:tcPr>
            <w:tcW w:w="6273" w:type="dxa"/>
          </w:tcPr>
          <w:p w14:paraId="12118BDA" w14:textId="77777777" w:rsidR="008A4A25" w:rsidRDefault="008A4A25" w:rsidP="00EC6F8C">
            <w:pPr>
              <w:cnfStyle w:val="000000100000" w:firstRow="0" w:lastRow="0" w:firstColumn="0" w:lastColumn="0" w:oddVBand="0" w:evenVBand="0" w:oddHBand="1" w:evenHBand="0" w:firstRowFirstColumn="0" w:firstRowLastColumn="0" w:lastRowFirstColumn="0" w:lastRowLastColumn="0"/>
              <w:rPr>
                <w:lang w:val="en-US"/>
              </w:rPr>
            </w:pPr>
            <w:r>
              <w:rPr>
                <w:lang w:val="en-US"/>
              </w:rPr>
              <w:t>Standard practice</w:t>
            </w:r>
          </w:p>
        </w:tc>
      </w:tr>
      <w:tr w:rsidR="008A4A25" w14:paraId="0BDECAA1" w14:textId="77777777" w:rsidTr="00445CFF">
        <w:trPr>
          <w:trHeight w:val="283"/>
        </w:trPr>
        <w:tc>
          <w:tcPr>
            <w:cnfStyle w:val="001000000000" w:firstRow="0" w:lastRow="0" w:firstColumn="1" w:lastColumn="0" w:oddVBand="0" w:evenVBand="0" w:oddHBand="0" w:evenHBand="0" w:firstRowFirstColumn="0" w:firstRowLastColumn="0" w:lastRowFirstColumn="0" w:lastRowLastColumn="0"/>
            <w:tcW w:w="3438" w:type="dxa"/>
          </w:tcPr>
          <w:p w14:paraId="12B53639" w14:textId="77777777" w:rsidR="008A4A25" w:rsidRDefault="008A4A25" w:rsidP="00EC6F8C">
            <w:pPr>
              <w:rPr>
                <w:lang w:val="en-US"/>
              </w:rPr>
            </w:pPr>
            <w:r>
              <w:rPr>
                <w:lang w:val="en-US"/>
              </w:rPr>
              <w:t>Where zoned for duplex</w:t>
            </w:r>
          </w:p>
        </w:tc>
        <w:tc>
          <w:tcPr>
            <w:tcW w:w="3438" w:type="dxa"/>
          </w:tcPr>
          <w:p w14:paraId="4CEDE89F" w14:textId="29375E5D" w:rsidR="008A4A25" w:rsidRDefault="00A2220A" w:rsidP="0083774D">
            <w:pPr>
              <w:cnfStyle w:val="000000000000" w:firstRow="0" w:lastRow="0" w:firstColumn="0" w:lastColumn="0" w:oddVBand="0" w:evenVBand="0" w:oddHBand="0" w:evenHBand="0" w:firstRowFirstColumn="0" w:firstRowLastColumn="0" w:lastRowFirstColumn="0" w:lastRowLastColumn="0"/>
              <w:rPr>
                <w:lang w:val="en-US"/>
              </w:rPr>
            </w:pPr>
            <w:r>
              <w:rPr>
                <w:lang w:val="en-US"/>
              </w:rPr>
              <w:t>Eligible if meeting all other eligibility requirements and no duplex has been constructed</w:t>
            </w:r>
          </w:p>
        </w:tc>
        <w:tc>
          <w:tcPr>
            <w:tcW w:w="6273" w:type="dxa"/>
          </w:tcPr>
          <w:p w14:paraId="5E01F347" w14:textId="5176D9D9" w:rsidR="008A4A25" w:rsidRDefault="00A2220A" w:rsidP="00EC6F8C">
            <w:pPr>
              <w:cnfStyle w:val="000000000000" w:firstRow="0" w:lastRow="0" w:firstColumn="0" w:lastColumn="0" w:oddVBand="0" w:evenVBand="0" w:oddHBand="0" w:evenHBand="0" w:firstRowFirstColumn="0" w:firstRowLastColumn="0" w:lastRowFirstColumn="0" w:lastRowLastColumn="0"/>
              <w:rPr>
                <w:lang w:val="en-US"/>
              </w:rPr>
            </w:pPr>
            <w:r>
              <w:rPr>
                <w:lang w:val="en-US"/>
              </w:rPr>
              <w:t>Public feedback</w:t>
            </w:r>
          </w:p>
        </w:tc>
      </w:tr>
      <w:tr w:rsidR="006443DF" w14:paraId="19D6326C" w14:textId="77777777" w:rsidTr="00445C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38" w:type="dxa"/>
          </w:tcPr>
          <w:p w14:paraId="7D10422D" w14:textId="77777777" w:rsidR="006443DF" w:rsidRDefault="006443DF" w:rsidP="00EC6F8C">
            <w:pPr>
              <w:rPr>
                <w:lang w:val="en-US"/>
              </w:rPr>
            </w:pPr>
            <w:r>
              <w:rPr>
                <w:lang w:val="en-US"/>
              </w:rPr>
              <w:t>Waterfront lots or within 20 m of Gorge or 10 m of Strait</w:t>
            </w:r>
          </w:p>
        </w:tc>
        <w:tc>
          <w:tcPr>
            <w:tcW w:w="3438" w:type="dxa"/>
          </w:tcPr>
          <w:p w14:paraId="73C7A152" w14:textId="77777777" w:rsidR="006443DF" w:rsidRDefault="00BA7A86" w:rsidP="0083774D">
            <w:pPr>
              <w:cnfStyle w:val="000000100000" w:firstRow="0" w:lastRow="0" w:firstColumn="0" w:lastColumn="0" w:oddVBand="0" w:evenVBand="0" w:oddHBand="1" w:evenHBand="0" w:firstRowFirstColumn="0" w:firstRowLastColumn="0" w:lastRowFirstColumn="0" w:lastRowLastColumn="0"/>
              <w:rPr>
                <w:lang w:val="en-US"/>
              </w:rPr>
            </w:pPr>
            <w:r>
              <w:rPr>
                <w:lang w:val="en-US"/>
              </w:rPr>
              <w:t>Not eligible</w:t>
            </w:r>
          </w:p>
        </w:tc>
        <w:tc>
          <w:tcPr>
            <w:tcW w:w="6273" w:type="dxa"/>
          </w:tcPr>
          <w:p w14:paraId="4C84B30F" w14:textId="77777777" w:rsidR="006443DF" w:rsidRDefault="00BA7A86" w:rsidP="00EC6F8C">
            <w:pPr>
              <w:cnfStyle w:val="000000100000" w:firstRow="0" w:lastRow="0" w:firstColumn="0" w:lastColumn="0" w:oddVBand="0" w:evenVBand="0" w:oddHBand="1" w:evenHBand="0" w:firstRowFirstColumn="0" w:firstRowLastColumn="0" w:lastRowFirstColumn="0" w:lastRowLastColumn="0"/>
              <w:rPr>
                <w:lang w:val="en-US"/>
              </w:rPr>
            </w:pPr>
            <w:r>
              <w:rPr>
                <w:lang w:val="en-US"/>
              </w:rPr>
              <w:t>Environmental development permit area</w:t>
            </w:r>
            <w:r w:rsidR="006443DF">
              <w:rPr>
                <w:lang w:val="en-US"/>
              </w:rPr>
              <w:t>.</w:t>
            </w:r>
          </w:p>
        </w:tc>
      </w:tr>
      <w:tr w:rsidR="00397656" w14:paraId="416E088F" w14:textId="77777777" w:rsidTr="00445CFF">
        <w:trPr>
          <w:trHeight w:val="283"/>
        </w:trPr>
        <w:tc>
          <w:tcPr>
            <w:cnfStyle w:val="001000000000" w:firstRow="0" w:lastRow="0" w:firstColumn="1" w:lastColumn="0" w:oddVBand="0" w:evenVBand="0" w:oddHBand="0" w:evenHBand="0" w:firstRowFirstColumn="0" w:firstRowLastColumn="0" w:lastRowFirstColumn="0" w:lastRowLastColumn="0"/>
            <w:tcW w:w="3438" w:type="dxa"/>
          </w:tcPr>
          <w:p w14:paraId="49592942" w14:textId="77777777" w:rsidR="00397656" w:rsidRDefault="00397656" w:rsidP="00815958">
            <w:pPr>
              <w:rPr>
                <w:lang w:val="en-US"/>
              </w:rPr>
            </w:pPr>
            <w:r>
              <w:rPr>
                <w:lang w:val="en-US"/>
              </w:rPr>
              <w:t>On bare land strata lots</w:t>
            </w:r>
          </w:p>
        </w:tc>
        <w:tc>
          <w:tcPr>
            <w:tcW w:w="3438" w:type="dxa"/>
          </w:tcPr>
          <w:p w14:paraId="7C90A283" w14:textId="77777777" w:rsidR="00397656" w:rsidRDefault="00BA7A86" w:rsidP="00815958">
            <w:pPr>
              <w:cnfStyle w:val="000000000000" w:firstRow="0" w:lastRow="0" w:firstColumn="0" w:lastColumn="0" w:oddVBand="0" w:evenVBand="0" w:oddHBand="0" w:evenHBand="0" w:firstRowFirstColumn="0" w:firstRowLastColumn="0" w:lastRowFirstColumn="0" w:lastRowLastColumn="0"/>
              <w:rPr>
                <w:lang w:val="en-US"/>
              </w:rPr>
            </w:pPr>
            <w:r>
              <w:rPr>
                <w:lang w:val="en-US"/>
              </w:rPr>
              <w:t>Not eligible</w:t>
            </w:r>
          </w:p>
        </w:tc>
        <w:tc>
          <w:tcPr>
            <w:tcW w:w="6273" w:type="dxa"/>
          </w:tcPr>
          <w:p w14:paraId="53B77E1D" w14:textId="77777777" w:rsidR="00397656" w:rsidRDefault="00BA7A86" w:rsidP="004D0FA8">
            <w:pPr>
              <w:cnfStyle w:val="000000000000" w:firstRow="0" w:lastRow="0" w:firstColumn="0" w:lastColumn="0" w:oddVBand="0" w:evenVBand="0" w:oddHBand="0" w:evenHBand="0" w:firstRowFirstColumn="0" w:firstRowLastColumn="0" w:lastRowFirstColumn="0" w:lastRowLastColumn="0"/>
              <w:rPr>
                <w:lang w:val="en-US"/>
              </w:rPr>
            </w:pPr>
            <w:r>
              <w:rPr>
                <w:lang w:val="en-US"/>
              </w:rPr>
              <w:t>Servicing issues, strata law.</w:t>
            </w:r>
          </w:p>
        </w:tc>
      </w:tr>
      <w:tr w:rsidR="004D0FA8" w14:paraId="1DC06CC7" w14:textId="77777777" w:rsidTr="00445C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38" w:type="dxa"/>
          </w:tcPr>
          <w:p w14:paraId="354B309D" w14:textId="77777777" w:rsidR="004D0FA8" w:rsidRDefault="004D0FA8" w:rsidP="00815958">
            <w:pPr>
              <w:rPr>
                <w:lang w:val="en-US"/>
              </w:rPr>
            </w:pPr>
            <w:r>
              <w:rPr>
                <w:lang w:val="en-US"/>
              </w:rPr>
              <w:t>Parcel size minimum</w:t>
            </w:r>
          </w:p>
        </w:tc>
        <w:tc>
          <w:tcPr>
            <w:tcW w:w="3438" w:type="dxa"/>
          </w:tcPr>
          <w:p w14:paraId="2094C8A2" w14:textId="77777777" w:rsidR="004D0FA8" w:rsidRDefault="006443DF" w:rsidP="00815958">
            <w:pPr>
              <w:cnfStyle w:val="000000100000" w:firstRow="0" w:lastRow="0" w:firstColumn="0" w:lastColumn="0" w:oddVBand="0" w:evenVBand="0" w:oddHBand="1" w:evenHBand="0" w:firstRowFirstColumn="0" w:firstRowLastColumn="0" w:lastRowFirstColumn="0" w:lastRowLastColumn="0"/>
              <w:rPr>
                <w:lang w:val="en-US"/>
              </w:rPr>
            </w:pPr>
            <w:r>
              <w:rPr>
                <w:lang w:val="en-US"/>
              </w:rPr>
              <w:t>475 or 530</w:t>
            </w:r>
            <w:r w:rsidR="00BA7A86">
              <w:rPr>
                <w:lang w:val="en-US"/>
              </w:rPr>
              <w:t xml:space="preserve"> m2</w:t>
            </w:r>
          </w:p>
        </w:tc>
        <w:tc>
          <w:tcPr>
            <w:tcW w:w="6273" w:type="dxa"/>
          </w:tcPr>
          <w:p w14:paraId="06E1C147" w14:textId="77777777" w:rsidR="004D0FA8" w:rsidRDefault="006443DF" w:rsidP="004D0FA8">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475 where there is a corner lot or laneway access.  530 for other lots.  </w:t>
            </w:r>
            <w:r w:rsidR="004D0FA8">
              <w:rPr>
                <w:lang w:val="en-US"/>
              </w:rPr>
              <w:t xml:space="preserve">530 is the minimum lot size for RS zoned lots.  </w:t>
            </w:r>
          </w:p>
        </w:tc>
      </w:tr>
      <w:tr w:rsidR="004D0FA8" w14:paraId="6589BD00" w14:textId="77777777" w:rsidTr="00445CFF">
        <w:trPr>
          <w:trHeight w:val="283"/>
        </w:trPr>
        <w:tc>
          <w:tcPr>
            <w:cnfStyle w:val="001000000000" w:firstRow="0" w:lastRow="0" w:firstColumn="1" w:lastColumn="0" w:oddVBand="0" w:evenVBand="0" w:oddHBand="0" w:evenHBand="0" w:firstRowFirstColumn="0" w:firstRowLastColumn="0" w:lastRowFirstColumn="0" w:lastRowLastColumn="0"/>
            <w:tcW w:w="3438" w:type="dxa"/>
          </w:tcPr>
          <w:p w14:paraId="7A19D9AB" w14:textId="77777777" w:rsidR="004D0FA8" w:rsidRDefault="004D0FA8" w:rsidP="00815958">
            <w:pPr>
              <w:rPr>
                <w:lang w:val="en-US"/>
              </w:rPr>
            </w:pPr>
            <w:r>
              <w:rPr>
                <w:lang w:val="en-US"/>
              </w:rPr>
              <w:t>Accessory building</w:t>
            </w:r>
          </w:p>
        </w:tc>
        <w:tc>
          <w:tcPr>
            <w:tcW w:w="3438" w:type="dxa"/>
          </w:tcPr>
          <w:p w14:paraId="4CC06AFC" w14:textId="7E3DF868" w:rsidR="004D0FA8" w:rsidRDefault="004D0FA8" w:rsidP="00815958">
            <w:pPr>
              <w:cnfStyle w:val="000000000000" w:firstRow="0" w:lastRow="0" w:firstColumn="0" w:lastColumn="0" w:oddVBand="0" w:evenVBand="0" w:oddHBand="0" w:evenHBand="0" w:firstRowFirstColumn="0" w:firstRowLastColumn="0" w:lastRowFirstColumn="0" w:lastRowLastColumn="0"/>
              <w:rPr>
                <w:lang w:val="en-US"/>
              </w:rPr>
            </w:pPr>
            <w:r>
              <w:rPr>
                <w:lang w:val="en-US"/>
              </w:rPr>
              <w:t>Cannot convert</w:t>
            </w:r>
            <w:r w:rsidR="00A2220A">
              <w:rPr>
                <w:lang w:val="en-US"/>
              </w:rPr>
              <w:t xml:space="preserve"> accessory buildings constructed after DADU zoning adopted.</w:t>
            </w:r>
          </w:p>
        </w:tc>
        <w:tc>
          <w:tcPr>
            <w:tcW w:w="6273" w:type="dxa"/>
          </w:tcPr>
          <w:p w14:paraId="0CD514C0" w14:textId="77777777" w:rsidR="004D0FA8" w:rsidRDefault="004D0FA8" w:rsidP="00815958">
            <w:pPr>
              <w:cnfStyle w:val="000000000000" w:firstRow="0" w:lastRow="0" w:firstColumn="0" w:lastColumn="0" w:oddVBand="0" w:evenVBand="0" w:oddHBand="0" w:evenHBand="0" w:firstRowFirstColumn="0" w:firstRowLastColumn="0" w:lastRowFirstColumn="0" w:lastRowLastColumn="0"/>
              <w:rPr>
                <w:lang w:val="en-US"/>
              </w:rPr>
            </w:pPr>
            <w:r>
              <w:rPr>
                <w:lang w:val="en-US"/>
              </w:rPr>
              <w:t>Standard practice</w:t>
            </w:r>
          </w:p>
        </w:tc>
      </w:tr>
      <w:tr w:rsidR="00C2607B" w14:paraId="114D5AB0" w14:textId="77777777" w:rsidTr="00445C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38" w:type="dxa"/>
          </w:tcPr>
          <w:p w14:paraId="70248C21" w14:textId="77777777" w:rsidR="00C2607B" w:rsidRPr="0083774D" w:rsidRDefault="00C2607B" w:rsidP="00E80211">
            <w:pPr>
              <w:rPr>
                <w:highlight w:val="yellow"/>
                <w:lang w:val="en-US"/>
              </w:rPr>
            </w:pPr>
            <w:r w:rsidRPr="006443DF">
              <w:rPr>
                <w:lang w:val="en-US"/>
              </w:rPr>
              <w:t>Strata titling</w:t>
            </w:r>
          </w:p>
        </w:tc>
        <w:tc>
          <w:tcPr>
            <w:tcW w:w="3438" w:type="dxa"/>
          </w:tcPr>
          <w:p w14:paraId="4520B3BE" w14:textId="77777777" w:rsidR="00C2607B" w:rsidRDefault="00C2607B" w:rsidP="00C2607B">
            <w:pPr>
              <w:cnfStyle w:val="000000100000" w:firstRow="0" w:lastRow="0" w:firstColumn="0" w:lastColumn="0" w:oddVBand="0" w:evenVBand="0" w:oddHBand="1" w:evenHBand="0" w:firstRowFirstColumn="0" w:firstRowLastColumn="0" w:lastRowFirstColumn="0" w:lastRowLastColumn="0"/>
              <w:rPr>
                <w:lang w:val="en-US"/>
              </w:rPr>
            </w:pPr>
            <w:r>
              <w:rPr>
                <w:lang w:val="en-US"/>
              </w:rPr>
              <w:t>Not permitted</w:t>
            </w:r>
          </w:p>
        </w:tc>
        <w:tc>
          <w:tcPr>
            <w:tcW w:w="6273" w:type="dxa"/>
          </w:tcPr>
          <w:p w14:paraId="129C4D47" w14:textId="77777777" w:rsidR="00C2607B" w:rsidRDefault="00C2607B" w:rsidP="00E80211">
            <w:pPr>
              <w:cnfStyle w:val="000000100000" w:firstRow="0" w:lastRow="0" w:firstColumn="0" w:lastColumn="0" w:oddVBand="0" w:evenVBand="0" w:oddHBand="1" w:evenHBand="0" w:firstRowFirstColumn="0" w:firstRowLastColumn="0" w:lastRowFirstColumn="0" w:lastRowLastColumn="0"/>
              <w:rPr>
                <w:lang w:val="en-US"/>
              </w:rPr>
            </w:pPr>
            <w:r>
              <w:rPr>
                <w:lang w:val="en-US"/>
              </w:rPr>
              <w:t>Standard practice</w:t>
            </w:r>
          </w:p>
        </w:tc>
      </w:tr>
      <w:tr w:rsidR="00C2607B" w14:paraId="18338A53" w14:textId="77777777" w:rsidTr="00445CFF">
        <w:trPr>
          <w:trHeight w:val="283"/>
        </w:trPr>
        <w:tc>
          <w:tcPr>
            <w:cnfStyle w:val="001000000000" w:firstRow="0" w:lastRow="0" w:firstColumn="1" w:lastColumn="0" w:oddVBand="0" w:evenVBand="0" w:oddHBand="0" w:evenHBand="0" w:firstRowFirstColumn="0" w:firstRowLastColumn="0" w:lastRowFirstColumn="0" w:lastRowLastColumn="0"/>
            <w:tcW w:w="3438" w:type="dxa"/>
          </w:tcPr>
          <w:p w14:paraId="5F9CC6C3" w14:textId="77777777" w:rsidR="00C2607B" w:rsidRPr="008D1DFC" w:rsidRDefault="00C2607B" w:rsidP="00E80211">
            <w:pPr>
              <w:rPr>
                <w:lang w:val="en-US"/>
              </w:rPr>
            </w:pPr>
            <w:r w:rsidRPr="008D1DFC">
              <w:rPr>
                <w:lang w:val="en-US"/>
              </w:rPr>
              <w:t>Requirement that either garden suite or principal dwelling be occupied by the owner</w:t>
            </w:r>
          </w:p>
        </w:tc>
        <w:tc>
          <w:tcPr>
            <w:tcW w:w="3438" w:type="dxa"/>
          </w:tcPr>
          <w:p w14:paraId="1C8202DB" w14:textId="24CC8F76" w:rsidR="00C2607B" w:rsidRPr="008D1DFC" w:rsidRDefault="00A2220A" w:rsidP="00C2607B">
            <w:pPr>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6273" w:type="dxa"/>
          </w:tcPr>
          <w:p w14:paraId="42B44122" w14:textId="5037C031" w:rsidR="00C2607B" w:rsidRDefault="00A2220A" w:rsidP="00E80211">
            <w:pPr>
              <w:cnfStyle w:val="000000000000" w:firstRow="0" w:lastRow="0" w:firstColumn="0" w:lastColumn="0" w:oddVBand="0" w:evenVBand="0" w:oddHBand="0" w:evenHBand="0" w:firstRowFirstColumn="0" w:firstRowLastColumn="0" w:lastRowFirstColumn="0" w:lastRowLastColumn="0"/>
              <w:rPr>
                <w:lang w:val="en-US"/>
              </w:rPr>
            </w:pPr>
            <w:r>
              <w:rPr>
                <w:lang w:val="en-US"/>
              </w:rPr>
              <w:t>Public feedback</w:t>
            </w:r>
          </w:p>
        </w:tc>
      </w:tr>
    </w:tbl>
    <w:p w14:paraId="0C4E44E2" w14:textId="77777777" w:rsidR="003D3D9D" w:rsidRDefault="003D3D9D" w:rsidP="00C2607B"/>
    <w:p w14:paraId="31B54474" w14:textId="77777777" w:rsidR="003D3D9D" w:rsidRDefault="003D3D9D">
      <w:r>
        <w:br w:type="page"/>
      </w:r>
    </w:p>
    <w:p w14:paraId="120FF261" w14:textId="77777777" w:rsidR="00C2607B" w:rsidRPr="00480A3D" w:rsidRDefault="00480A3D" w:rsidP="00C2607B">
      <w:pPr>
        <w:rPr>
          <w:b/>
        </w:rPr>
      </w:pPr>
      <w:r w:rsidRPr="00480A3D">
        <w:rPr>
          <w:b/>
        </w:rPr>
        <w:lastRenderedPageBreak/>
        <w:t xml:space="preserve">Township of Esquimalt – Proposed Detached Accessory Dwelling Unit </w:t>
      </w:r>
      <w:r w:rsidR="00CC0008">
        <w:rPr>
          <w:b/>
        </w:rPr>
        <w:t>Regulatory Framework</w:t>
      </w:r>
    </w:p>
    <w:p w14:paraId="08D23DB8" w14:textId="77777777" w:rsidR="00C2607B" w:rsidRPr="00C2607B" w:rsidRDefault="00C2607B" w:rsidP="00C2607B">
      <w:pPr>
        <w:rPr>
          <w:b/>
          <w:i/>
        </w:rPr>
      </w:pPr>
      <w:r w:rsidRPr="00C2607B">
        <w:rPr>
          <w:b/>
          <w:i/>
        </w:rPr>
        <w:t>SITING</w:t>
      </w:r>
    </w:p>
    <w:tbl>
      <w:tblPr>
        <w:tblStyle w:val="LightShading-Accent1"/>
        <w:tblW w:w="13149" w:type="dxa"/>
        <w:tblLook w:val="04A0" w:firstRow="1" w:lastRow="0" w:firstColumn="1" w:lastColumn="0" w:noHBand="0" w:noVBand="1"/>
      </w:tblPr>
      <w:tblGrid>
        <w:gridCol w:w="3438"/>
        <w:gridCol w:w="3438"/>
        <w:gridCol w:w="6273"/>
      </w:tblGrid>
      <w:tr w:rsidR="00C2607B" w:rsidRPr="00C2607B" w14:paraId="2EBBD162" w14:textId="77777777" w:rsidTr="00445CFF">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438" w:type="dxa"/>
            <w:shd w:val="clear" w:color="auto" w:fill="8DB3E2" w:themeFill="text2" w:themeFillTint="66"/>
          </w:tcPr>
          <w:p w14:paraId="04968474" w14:textId="77777777" w:rsidR="00C2607B" w:rsidRPr="00C2607B" w:rsidRDefault="00C2607B" w:rsidP="00E80211">
            <w:pPr>
              <w:rPr>
                <w:color w:val="FFFFFF" w:themeColor="background1"/>
              </w:rPr>
            </w:pPr>
            <w:r w:rsidRPr="00C2607B">
              <w:rPr>
                <w:color w:val="FFFFFF" w:themeColor="background1"/>
              </w:rPr>
              <w:t>Regulation</w:t>
            </w:r>
          </w:p>
        </w:tc>
        <w:tc>
          <w:tcPr>
            <w:tcW w:w="3438" w:type="dxa"/>
            <w:shd w:val="clear" w:color="auto" w:fill="8DB3E2" w:themeFill="text2" w:themeFillTint="66"/>
          </w:tcPr>
          <w:p w14:paraId="1D6409FE" w14:textId="77777777" w:rsidR="00C2607B" w:rsidRPr="00C2607B" w:rsidRDefault="00C2607B" w:rsidP="00E8021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2607B">
              <w:rPr>
                <w:color w:val="FFFFFF" w:themeColor="background1"/>
              </w:rPr>
              <w:t>Proposed</w:t>
            </w:r>
          </w:p>
        </w:tc>
        <w:tc>
          <w:tcPr>
            <w:tcW w:w="6273" w:type="dxa"/>
            <w:shd w:val="clear" w:color="auto" w:fill="8DB3E2" w:themeFill="text2" w:themeFillTint="66"/>
          </w:tcPr>
          <w:p w14:paraId="21E0236D" w14:textId="77777777" w:rsidR="00C2607B" w:rsidRPr="00C2607B" w:rsidRDefault="00C2607B" w:rsidP="00E8021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2607B">
              <w:rPr>
                <w:color w:val="FFFFFF" w:themeColor="background1"/>
              </w:rPr>
              <w:t>Rationale</w:t>
            </w:r>
          </w:p>
        </w:tc>
      </w:tr>
      <w:tr w:rsidR="00C2607B" w14:paraId="20E61973" w14:textId="77777777" w:rsidTr="00445CFF">
        <w:tblPrEx>
          <w:tblCellMar>
            <w:top w:w="28" w:type="dxa"/>
          </w:tblCellMar>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38" w:type="dxa"/>
          </w:tcPr>
          <w:p w14:paraId="765C6CB2" w14:textId="77777777" w:rsidR="00C2607B" w:rsidRPr="00CE1661" w:rsidRDefault="00C2607B" w:rsidP="00E80211">
            <w:r w:rsidRPr="00CE1661">
              <w:t>Siting on lot</w:t>
            </w:r>
          </w:p>
        </w:tc>
        <w:tc>
          <w:tcPr>
            <w:tcW w:w="3438" w:type="dxa"/>
          </w:tcPr>
          <w:p w14:paraId="52C2EF89" w14:textId="77777777" w:rsidR="00C2607B" w:rsidRPr="00CE1661" w:rsidRDefault="00C2607B" w:rsidP="00E80211">
            <w:pPr>
              <w:cnfStyle w:val="000000100000" w:firstRow="0" w:lastRow="0" w:firstColumn="0" w:lastColumn="0" w:oddVBand="0" w:evenVBand="0" w:oddHBand="1" w:evenHBand="0" w:firstRowFirstColumn="0" w:firstRowLastColumn="0" w:lastRowFirstColumn="0" w:lastRowLastColumn="0"/>
            </w:pPr>
            <w:r w:rsidRPr="00CE1661">
              <w:t>Rear yard only.</w:t>
            </w:r>
          </w:p>
        </w:tc>
        <w:tc>
          <w:tcPr>
            <w:tcW w:w="6273" w:type="dxa"/>
          </w:tcPr>
          <w:p w14:paraId="1B6C32D0" w14:textId="77777777" w:rsidR="00C2607B" w:rsidRDefault="00C2607B" w:rsidP="00E80211">
            <w:pPr>
              <w:cnfStyle w:val="000000100000" w:firstRow="0" w:lastRow="0" w:firstColumn="0" w:lastColumn="0" w:oddVBand="0" w:evenVBand="0" w:oddHBand="1" w:evenHBand="0" w:firstRowFirstColumn="0" w:firstRowLastColumn="0" w:lastRowFirstColumn="0" w:lastRowLastColumn="0"/>
            </w:pPr>
            <w:r w:rsidRPr="00CE1661">
              <w:t>Standard practice</w:t>
            </w:r>
          </w:p>
        </w:tc>
      </w:tr>
      <w:tr w:rsidR="00C2607B" w14:paraId="4B9CF3AC" w14:textId="77777777" w:rsidTr="00445CFF">
        <w:tblPrEx>
          <w:tblCellMar>
            <w:top w:w="28" w:type="dxa"/>
          </w:tblCellMar>
        </w:tblPrEx>
        <w:trPr>
          <w:trHeight w:val="283"/>
        </w:trPr>
        <w:tc>
          <w:tcPr>
            <w:cnfStyle w:val="001000000000" w:firstRow="0" w:lastRow="0" w:firstColumn="1" w:lastColumn="0" w:oddVBand="0" w:evenVBand="0" w:oddHBand="0" w:evenHBand="0" w:firstRowFirstColumn="0" w:firstRowLastColumn="0" w:lastRowFirstColumn="0" w:lastRowLastColumn="0"/>
            <w:tcW w:w="3438" w:type="dxa"/>
          </w:tcPr>
          <w:p w14:paraId="366B19FC" w14:textId="77777777" w:rsidR="00C2607B" w:rsidRDefault="00C2607B" w:rsidP="00E80211">
            <w:pPr>
              <w:rPr>
                <w:lang w:val="en-US"/>
              </w:rPr>
            </w:pPr>
            <w:r>
              <w:rPr>
                <w:lang w:val="en-US"/>
              </w:rPr>
              <w:t>Rear yard setback</w:t>
            </w:r>
          </w:p>
        </w:tc>
        <w:tc>
          <w:tcPr>
            <w:tcW w:w="3438" w:type="dxa"/>
          </w:tcPr>
          <w:p w14:paraId="45D09DC8" w14:textId="77777777" w:rsidR="00C2607B" w:rsidRPr="006443DF" w:rsidRDefault="00C2607B" w:rsidP="00E80211">
            <w:pPr>
              <w:cnfStyle w:val="000000000000" w:firstRow="0" w:lastRow="0" w:firstColumn="0" w:lastColumn="0" w:oddVBand="0" w:evenVBand="0" w:oddHBand="0" w:evenHBand="0" w:firstRowFirstColumn="0" w:firstRowLastColumn="0" w:lastRowFirstColumn="0" w:lastRowLastColumn="0"/>
              <w:rPr>
                <w:lang w:val="en-US"/>
              </w:rPr>
            </w:pPr>
            <w:r w:rsidRPr="006443DF">
              <w:rPr>
                <w:lang w:val="en-US"/>
              </w:rPr>
              <w:t>1.5 m</w:t>
            </w:r>
          </w:p>
        </w:tc>
        <w:tc>
          <w:tcPr>
            <w:tcW w:w="6273" w:type="dxa"/>
          </w:tcPr>
          <w:p w14:paraId="6F41D533" w14:textId="77777777" w:rsidR="00C2607B" w:rsidRDefault="00C2607B" w:rsidP="00E80211">
            <w:pPr>
              <w:cnfStyle w:val="000000000000" w:firstRow="0" w:lastRow="0" w:firstColumn="0" w:lastColumn="0" w:oddVBand="0" w:evenVBand="0" w:oddHBand="0" w:evenHBand="0" w:firstRowFirstColumn="0" w:firstRowLastColumn="0" w:lastRowFirstColumn="0" w:lastRowLastColumn="0"/>
              <w:rPr>
                <w:lang w:val="en-US"/>
              </w:rPr>
            </w:pPr>
            <w:r>
              <w:rPr>
                <w:lang w:val="en-US"/>
              </w:rPr>
              <w:t>As per existing setback</w:t>
            </w:r>
          </w:p>
        </w:tc>
      </w:tr>
      <w:tr w:rsidR="00C2607B" w14:paraId="6EE219D7" w14:textId="77777777" w:rsidTr="00445CFF">
        <w:tblPrEx>
          <w:tblCellMar>
            <w:top w:w="28" w:type="dxa"/>
          </w:tblCellMar>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38" w:type="dxa"/>
          </w:tcPr>
          <w:p w14:paraId="5F3CE7EC" w14:textId="77777777" w:rsidR="00C2607B" w:rsidRDefault="00C2607B" w:rsidP="00E80211">
            <w:pPr>
              <w:rPr>
                <w:lang w:val="en-US"/>
              </w:rPr>
            </w:pPr>
            <w:r>
              <w:rPr>
                <w:lang w:val="en-US"/>
              </w:rPr>
              <w:t>Side yard setbacks</w:t>
            </w:r>
          </w:p>
        </w:tc>
        <w:tc>
          <w:tcPr>
            <w:tcW w:w="3438" w:type="dxa"/>
          </w:tcPr>
          <w:p w14:paraId="3E9A2BCA" w14:textId="77777777" w:rsidR="00C2607B" w:rsidRDefault="00C2607B" w:rsidP="00E80211">
            <w:pPr>
              <w:cnfStyle w:val="000000100000" w:firstRow="0" w:lastRow="0" w:firstColumn="0" w:lastColumn="0" w:oddVBand="0" w:evenVBand="0" w:oddHBand="1" w:evenHBand="0" w:firstRowFirstColumn="0" w:firstRowLastColumn="0" w:lastRowFirstColumn="0" w:lastRowLastColumn="0"/>
              <w:rPr>
                <w:lang w:val="en-US"/>
              </w:rPr>
            </w:pPr>
            <w:r>
              <w:rPr>
                <w:lang w:val="en-US"/>
              </w:rPr>
              <w:t>1.5 m</w:t>
            </w:r>
          </w:p>
        </w:tc>
        <w:tc>
          <w:tcPr>
            <w:tcW w:w="6273" w:type="dxa"/>
          </w:tcPr>
          <w:p w14:paraId="3B8EC32B" w14:textId="77777777" w:rsidR="00C2607B" w:rsidRDefault="00C2607B" w:rsidP="00E80211">
            <w:pPr>
              <w:cnfStyle w:val="000000100000" w:firstRow="0" w:lastRow="0" w:firstColumn="0" w:lastColumn="0" w:oddVBand="0" w:evenVBand="0" w:oddHBand="1" w:evenHBand="0" w:firstRowFirstColumn="0" w:firstRowLastColumn="0" w:lastRowFirstColumn="0" w:lastRowLastColumn="0"/>
              <w:rPr>
                <w:lang w:val="en-US"/>
              </w:rPr>
            </w:pPr>
            <w:r>
              <w:rPr>
                <w:lang w:val="en-US"/>
              </w:rPr>
              <w:t>As per existing setbacks.</w:t>
            </w:r>
          </w:p>
        </w:tc>
      </w:tr>
      <w:tr w:rsidR="00C2607B" w14:paraId="3098755D" w14:textId="77777777" w:rsidTr="00445CFF">
        <w:tblPrEx>
          <w:tblCellMar>
            <w:top w:w="28" w:type="dxa"/>
          </w:tblCellMar>
        </w:tblPrEx>
        <w:trPr>
          <w:trHeight w:val="283"/>
        </w:trPr>
        <w:tc>
          <w:tcPr>
            <w:cnfStyle w:val="001000000000" w:firstRow="0" w:lastRow="0" w:firstColumn="1" w:lastColumn="0" w:oddVBand="0" w:evenVBand="0" w:oddHBand="0" w:evenHBand="0" w:firstRowFirstColumn="0" w:firstRowLastColumn="0" w:lastRowFirstColumn="0" w:lastRowLastColumn="0"/>
            <w:tcW w:w="3438" w:type="dxa"/>
          </w:tcPr>
          <w:p w14:paraId="73064969" w14:textId="77777777" w:rsidR="00C2607B" w:rsidRDefault="00C2607B" w:rsidP="00E80211">
            <w:pPr>
              <w:rPr>
                <w:lang w:val="en-US"/>
              </w:rPr>
            </w:pPr>
            <w:r>
              <w:rPr>
                <w:lang w:val="en-US"/>
              </w:rPr>
              <w:t>Exterior side yard setback</w:t>
            </w:r>
          </w:p>
        </w:tc>
        <w:tc>
          <w:tcPr>
            <w:tcW w:w="3438" w:type="dxa"/>
          </w:tcPr>
          <w:p w14:paraId="533B282C" w14:textId="77777777" w:rsidR="00C2607B" w:rsidRPr="006443DF" w:rsidRDefault="00C2607B" w:rsidP="00E80211">
            <w:pPr>
              <w:cnfStyle w:val="000000000000" w:firstRow="0" w:lastRow="0" w:firstColumn="0" w:lastColumn="0" w:oddVBand="0" w:evenVBand="0" w:oddHBand="0" w:evenHBand="0" w:firstRowFirstColumn="0" w:firstRowLastColumn="0" w:lastRowFirstColumn="0" w:lastRowLastColumn="0"/>
              <w:rPr>
                <w:lang w:val="en-US"/>
              </w:rPr>
            </w:pPr>
            <w:r w:rsidRPr="006443DF">
              <w:rPr>
                <w:lang w:val="en-US"/>
              </w:rPr>
              <w:t xml:space="preserve">3.6 m </w:t>
            </w:r>
          </w:p>
        </w:tc>
        <w:tc>
          <w:tcPr>
            <w:tcW w:w="6273" w:type="dxa"/>
          </w:tcPr>
          <w:p w14:paraId="1F80F089" w14:textId="77777777" w:rsidR="00C2607B" w:rsidRDefault="00C2607B" w:rsidP="00E80211">
            <w:pPr>
              <w:cnfStyle w:val="000000000000" w:firstRow="0" w:lastRow="0" w:firstColumn="0" w:lastColumn="0" w:oddVBand="0" w:evenVBand="0" w:oddHBand="0" w:evenHBand="0" w:firstRowFirstColumn="0" w:firstRowLastColumn="0" w:lastRowFirstColumn="0" w:lastRowLastColumn="0"/>
              <w:rPr>
                <w:lang w:val="en-US"/>
              </w:rPr>
            </w:pPr>
            <w:r>
              <w:rPr>
                <w:lang w:val="en-US"/>
              </w:rPr>
              <w:t>Consistent with existing RS-1 requirement.</w:t>
            </w:r>
          </w:p>
        </w:tc>
      </w:tr>
      <w:tr w:rsidR="00C2607B" w14:paraId="0E1BC906" w14:textId="77777777" w:rsidTr="00445CFF">
        <w:tblPrEx>
          <w:tblCellMar>
            <w:top w:w="28" w:type="dxa"/>
          </w:tblCellMar>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38" w:type="dxa"/>
          </w:tcPr>
          <w:p w14:paraId="63DB3019" w14:textId="77777777" w:rsidR="00C2607B" w:rsidRPr="003D3D9D" w:rsidRDefault="00C2607B" w:rsidP="00E80211">
            <w:pPr>
              <w:rPr>
                <w:lang w:val="en-US"/>
              </w:rPr>
            </w:pPr>
            <w:r w:rsidRPr="003D3D9D">
              <w:rPr>
                <w:lang w:val="en-US"/>
              </w:rPr>
              <w:t>Combined side yard setback</w:t>
            </w:r>
          </w:p>
        </w:tc>
        <w:tc>
          <w:tcPr>
            <w:tcW w:w="3438" w:type="dxa"/>
          </w:tcPr>
          <w:p w14:paraId="6AD11B93" w14:textId="77777777" w:rsidR="00C2607B" w:rsidRDefault="0028004D" w:rsidP="00E80211">
            <w:pPr>
              <w:cnfStyle w:val="000000100000" w:firstRow="0" w:lastRow="0" w:firstColumn="0" w:lastColumn="0" w:oddVBand="0" w:evenVBand="0" w:oddHBand="1" w:evenHBand="0" w:firstRowFirstColumn="0" w:firstRowLastColumn="0" w:lastRowFirstColumn="0" w:lastRowLastColumn="0"/>
              <w:rPr>
                <w:lang w:val="en-US"/>
              </w:rPr>
            </w:pPr>
            <w:r>
              <w:rPr>
                <w:lang w:val="en-US"/>
              </w:rPr>
              <w:t>4.5 m</w:t>
            </w:r>
          </w:p>
        </w:tc>
        <w:tc>
          <w:tcPr>
            <w:tcW w:w="6273" w:type="dxa"/>
          </w:tcPr>
          <w:p w14:paraId="731BD734" w14:textId="77777777" w:rsidR="00C2607B" w:rsidRDefault="00C2607B" w:rsidP="00E80211">
            <w:pPr>
              <w:cnfStyle w:val="000000100000" w:firstRow="0" w:lastRow="0" w:firstColumn="0" w:lastColumn="0" w:oddVBand="0" w:evenVBand="0" w:oddHBand="1" w:evenHBand="0" w:firstRowFirstColumn="0" w:firstRowLastColumn="0" w:lastRowFirstColumn="0" w:lastRowLastColumn="0"/>
              <w:rPr>
                <w:lang w:val="en-US"/>
              </w:rPr>
            </w:pPr>
          </w:p>
        </w:tc>
      </w:tr>
      <w:tr w:rsidR="00C2607B" w14:paraId="6534B552" w14:textId="77777777" w:rsidTr="00445CFF">
        <w:tblPrEx>
          <w:tblCellMar>
            <w:top w:w="28" w:type="dxa"/>
          </w:tblCellMar>
        </w:tblPrEx>
        <w:trPr>
          <w:trHeight w:val="283"/>
        </w:trPr>
        <w:tc>
          <w:tcPr>
            <w:cnfStyle w:val="001000000000" w:firstRow="0" w:lastRow="0" w:firstColumn="1" w:lastColumn="0" w:oddVBand="0" w:evenVBand="0" w:oddHBand="0" w:evenHBand="0" w:firstRowFirstColumn="0" w:firstRowLastColumn="0" w:lastRowFirstColumn="0" w:lastRowLastColumn="0"/>
            <w:tcW w:w="3438" w:type="dxa"/>
          </w:tcPr>
          <w:p w14:paraId="5AFBAAA5" w14:textId="77777777" w:rsidR="00C2607B" w:rsidRDefault="00C2607B" w:rsidP="00E80211">
            <w:pPr>
              <w:rPr>
                <w:lang w:val="en-US"/>
              </w:rPr>
            </w:pPr>
            <w:r>
              <w:rPr>
                <w:lang w:val="en-US"/>
              </w:rPr>
              <w:t>Distance from principal dwelling</w:t>
            </w:r>
          </w:p>
        </w:tc>
        <w:tc>
          <w:tcPr>
            <w:tcW w:w="3438" w:type="dxa"/>
          </w:tcPr>
          <w:p w14:paraId="03CE5004" w14:textId="77777777" w:rsidR="00C2607B" w:rsidRDefault="00C2607B" w:rsidP="00E80211">
            <w:pPr>
              <w:cnfStyle w:val="000000000000" w:firstRow="0" w:lastRow="0" w:firstColumn="0" w:lastColumn="0" w:oddVBand="0" w:evenVBand="0" w:oddHBand="0" w:evenHBand="0" w:firstRowFirstColumn="0" w:firstRowLastColumn="0" w:lastRowFirstColumn="0" w:lastRowLastColumn="0"/>
              <w:rPr>
                <w:lang w:val="en-US"/>
              </w:rPr>
            </w:pPr>
            <w:r>
              <w:rPr>
                <w:lang w:val="en-US"/>
              </w:rPr>
              <w:t>2.5 m</w:t>
            </w:r>
          </w:p>
        </w:tc>
        <w:tc>
          <w:tcPr>
            <w:tcW w:w="6273" w:type="dxa"/>
          </w:tcPr>
          <w:p w14:paraId="1CE0554A" w14:textId="77777777" w:rsidR="00C2607B" w:rsidRDefault="00C2607B" w:rsidP="00E80211">
            <w:pPr>
              <w:cnfStyle w:val="000000000000" w:firstRow="0" w:lastRow="0" w:firstColumn="0" w:lastColumn="0" w:oddVBand="0" w:evenVBand="0" w:oddHBand="0" w:evenHBand="0" w:firstRowFirstColumn="0" w:firstRowLastColumn="0" w:lastRowFirstColumn="0" w:lastRowLastColumn="0"/>
              <w:rPr>
                <w:lang w:val="en-US"/>
              </w:rPr>
            </w:pPr>
            <w:r>
              <w:rPr>
                <w:lang w:val="en-US"/>
              </w:rPr>
              <w:t>As per existing distance for accessory buildings from PD</w:t>
            </w:r>
          </w:p>
        </w:tc>
      </w:tr>
      <w:tr w:rsidR="00C2607B" w14:paraId="1C561CE3" w14:textId="77777777" w:rsidTr="00445CFF">
        <w:tblPrEx>
          <w:tblCellMar>
            <w:top w:w="28" w:type="dxa"/>
          </w:tblCellMar>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38" w:type="dxa"/>
          </w:tcPr>
          <w:p w14:paraId="321D08E5" w14:textId="77777777" w:rsidR="00C2607B" w:rsidRDefault="00C2607B" w:rsidP="00E80211">
            <w:pPr>
              <w:rPr>
                <w:lang w:val="en-US"/>
              </w:rPr>
            </w:pPr>
            <w:r>
              <w:rPr>
                <w:lang w:val="en-US"/>
              </w:rPr>
              <w:t>Minimum amount of open space</w:t>
            </w:r>
          </w:p>
        </w:tc>
        <w:tc>
          <w:tcPr>
            <w:tcW w:w="3438" w:type="dxa"/>
          </w:tcPr>
          <w:p w14:paraId="1EEB0792" w14:textId="77777777" w:rsidR="00C2607B" w:rsidRDefault="00C2607B" w:rsidP="00E80211">
            <w:pPr>
              <w:cnfStyle w:val="000000100000" w:firstRow="0" w:lastRow="0" w:firstColumn="0" w:lastColumn="0" w:oddVBand="0" w:evenVBand="0" w:oddHBand="1" w:evenHBand="0" w:firstRowFirstColumn="0" w:firstRowLastColumn="0" w:lastRowFirstColumn="0" w:lastRowLastColumn="0"/>
              <w:rPr>
                <w:lang w:val="en-US"/>
              </w:rPr>
            </w:pPr>
            <w:r>
              <w:rPr>
                <w:lang w:val="en-US"/>
              </w:rPr>
              <w:t>20 m2</w:t>
            </w:r>
          </w:p>
        </w:tc>
        <w:tc>
          <w:tcPr>
            <w:tcW w:w="6273" w:type="dxa"/>
          </w:tcPr>
          <w:p w14:paraId="398E1F5E" w14:textId="77777777" w:rsidR="00C2607B" w:rsidRDefault="00C2607B" w:rsidP="003D3D9D">
            <w:pPr>
              <w:cnfStyle w:val="000000100000" w:firstRow="0" w:lastRow="0" w:firstColumn="0" w:lastColumn="0" w:oddVBand="0" w:evenVBand="0" w:oddHBand="1" w:evenHBand="0" w:firstRowFirstColumn="0" w:firstRowLastColumn="0" w:lastRowFirstColumn="0" w:lastRowLastColumn="0"/>
              <w:rPr>
                <w:lang w:val="en-US"/>
              </w:rPr>
            </w:pPr>
            <w:r>
              <w:rPr>
                <w:lang w:val="en-US"/>
              </w:rPr>
              <w:t>A</w:t>
            </w:r>
            <w:r w:rsidR="003D3D9D">
              <w:rPr>
                <w:lang w:val="en-US"/>
              </w:rPr>
              <w:t>s per Saanich regulations.  Minimum dimension 3 m.</w:t>
            </w:r>
          </w:p>
        </w:tc>
      </w:tr>
      <w:tr w:rsidR="00C2607B" w14:paraId="63FF8C65" w14:textId="77777777" w:rsidTr="00445CFF">
        <w:tblPrEx>
          <w:tblCellMar>
            <w:top w:w="28" w:type="dxa"/>
          </w:tblCellMar>
        </w:tblPrEx>
        <w:trPr>
          <w:trHeight w:val="283"/>
        </w:trPr>
        <w:tc>
          <w:tcPr>
            <w:cnfStyle w:val="001000000000" w:firstRow="0" w:lastRow="0" w:firstColumn="1" w:lastColumn="0" w:oddVBand="0" w:evenVBand="0" w:oddHBand="0" w:evenHBand="0" w:firstRowFirstColumn="0" w:firstRowLastColumn="0" w:lastRowFirstColumn="0" w:lastRowLastColumn="0"/>
            <w:tcW w:w="3438" w:type="dxa"/>
          </w:tcPr>
          <w:p w14:paraId="2E9EEBBC" w14:textId="77777777" w:rsidR="00C2607B" w:rsidRDefault="00C2607B" w:rsidP="00E80211">
            <w:pPr>
              <w:rPr>
                <w:lang w:val="en-US"/>
              </w:rPr>
            </w:pPr>
            <w:r>
              <w:rPr>
                <w:lang w:val="en-US"/>
              </w:rPr>
              <w:t>Minimum lot depth</w:t>
            </w:r>
          </w:p>
        </w:tc>
        <w:tc>
          <w:tcPr>
            <w:tcW w:w="3438" w:type="dxa"/>
          </w:tcPr>
          <w:p w14:paraId="21C658C6" w14:textId="77777777" w:rsidR="00C2607B" w:rsidRDefault="00C2607B" w:rsidP="00E80211">
            <w:pPr>
              <w:cnfStyle w:val="000000000000" w:firstRow="0" w:lastRow="0" w:firstColumn="0" w:lastColumn="0" w:oddVBand="0" w:evenVBand="0" w:oddHBand="0" w:evenHBand="0" w:firstRowFirstColumn="0" w:firstRowLastColumn="0" w:lastRowFirstColumn="0" w:lastRowLastColumn="0"/>
              <w:rPr>
                <w:lang w:val="en-US"/>
              </w:rPr>
            </w:pPr>
            <w:r>
              <w:rPr>
                <w:lang w:val="en-US"/>
              </w:rPr>
              <w:t>Not required</w:t>
            </w:r>
          </w:p>
        </w:tc>
        <w:tc>
          <w:tcPr>
            <w:tcW w:w="6273" w:type="dxa"/>
          </w:tcPr>
          <w:p w14:paraId="514876BA" w14:textId="77777777" w:rsidR="00C2607B" w:rsidRDefault="00C2607B" w:rsidP="00E80211">
            <w:pPr>
              <w:cnfStyle w:val="000000000000" w:firstRow="0" w:lastRow="0" w:firstColumn="0" w:lastColumn="0" w:oddVBand="0" w:evenVBand="0" w:oddHBand="0" w:evenHBand="0" w:firstRowFirstColumn="0" w:firstRowLastColumn="0" w:lastRowFirstColumn="0" w:lastRowLastColumn="0"/>
              <w:rPr>
                <w:lang w:val="en-US"/>
              </w:rPr>
            </w:pPr>
            <w:r>
              <w:rPr>
                <w:lang w:val="en-US"/>
              </w:rPr>
              <w:t>Setbacks will cover siting</w:t>
            </w:r>
          </w:p>
        </w:tc>
      </w:tr>
    </w:tbl>
    <w:p w14:paraId="5DB9DBD3" w14:textId="77777777" w:rsidR="003D3D9D" w:rsidRDefault="003D3D9D">
      <w:pPr>
        <w:rPr>
          <w:b/>
          <w:i/>
        </w:rPr>
      </w:pPr>
    </w:p>
    <w:p w14:paraId="3E332563" w14:textId="77777777" w:rsidR="00397656" w:rsidRPr="00397656" w:rsidRDefault="00397656">
      <w:pPr>
        <w:rPr>
          <w:b/>
          <w:i/>
        </w:rPr>
      </w:pPr>
      <w:r>
        <w:rPr>
          <w:b/>
          <w:i/>
        </w:rPr>
        <w:t xml:space="preserve">DENSITY AND HEIGHT </w:t>
      </w:r>
    </w:p>
    <w:tbl>
      <w:tblPr>
        <w:tblStyle w:val="LightShading-Accent1"/>
        <w:tblW w:w="13149" w:type="dxa"/>
        <w:tblLook w:val="04A0" w:firstRow="1" w:lastRow="0" w:firstColumn="1" w:lastColumn="0" w:noHBand="0" w:noVBand="1"/>
      </w:tblPr>
      <w:tblGrid>
        <w:gridCol w:w="3438"/>
        <w:gridCol w:w="3438"/>
        <w:gridCol w:w="6273"/>
      </w:tblGrid>
      <w:tr w:rsidR="00C2607B" w:rsidRPr="00C2607B" w14:paraId="4370CACB" w14:textId="77777777" w:rsidTr="00445CFF">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438" w:type="dxa"/>
            <w:shd w:val="clear" w:color="auto" w:fill="8DB3E2" w:themeFill="text2" w:themeFillTint="66"/>
          </w:tcPr>
          <w:p w14:paraId="4B2E2AD8" w14:textId="77777777" w:rsidR="00C2607B" w:rsidRPr="00C2607B" w:rsidRDefault="00C2607B" w:rsidP="001E3F75">
            <w:pPr>
              <w:rPr>
                <w:color w:val="FFFFFF" w:themeColor="background1"/>
              </w:rPr>
            </w:pPr>
            <w:r w:rsidRPr="00C2607B">
              <w:rPr>
                <w:color w:val="FFFFFF" w:themeColor="background1"/>
              </w:rPr>
              <w:t>Regulation</w:t>
            </w:r>
          </w:p>
        </w:tc>
        <w:tc>
          <w:tcPr>
            <w:tcW w:w="3438" w:type="dxa"/>
            <w:shd w:val="clear" w:color="auto" w:fill="8DB3E2" w:themeFill="text2" w:themeFillTint="66"/>
          </w:tcPr>
          <w:p w14:paraId="452E7F2E" w14:textId="77777777" w:rsidR="00C2607B" w:rsidRPr="00C2607B" w:rsidRDefault="00C2607B" w:rsidP="001E3F7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2607B">
              <w:rPr>
                <w:color w:val="FFFFFF" w:themeColor="background1"/>
              </w:rPr>
              <w:t>Proposed</w:t>
            </w:r>
          </w:p>
        </w:tc>
        <w:tc>
          <w:tcPr>
            <w:tcW w:w="6273" w:type="dxa"/>
            <w:shd w:val="clear" w:color="auto" w:fill="8DB3E2" w:themeFill="text2" w:themeFillTint="66"/>
          </w:tcPr>
          <w:p w14:paraId="23D1D1F8" w14:textId="77777777" w:rsidR="00C2607B" w:rsidRPr="00C2607B" w:rsidRDefault="00C2607B" w:rsidP="001E3F7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2607B">
              <w:rPr>
                <w:color w:val="FFFFFF" w:themeColor="background1"/>
              </w:rPr>
              <w:t>Rationale</w:t>
            </w:r>
          </w:p>
        </w:tc>
      </w:tr>
      <w:tr w:rsidR="004D0FA8" w14:paraId="700CF3FF" w14:textId="77777777" w:rsidTr="00445C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38" w:type="dxa"/>
          </w:tcPr>
          <w:p w14:paraId="5920B452" w14:textId="77777777" w:rsidR="004D0FA8" w:rsidRDefault="004D0FA8" w:rsidP="00815958">
            <w:pPr>
              <w:rPr>
                <w:lang w:val="en-US"/>
              </w:rPr>
            </w:pPr>
            <w:r>
              <w:rPr>
                <w:lang w:val="en-US"/>
              </w:rPr>
              <w:t>Number of stories</w:t>
            </w:r>
            <w:r w:rsidR="006443DF">
              <w:rPr>
                <w:lang w:val="en-US"/>
              </w:rPr>
              <w:t xml:space="preserve"> (stories includes basement)</w:t>
            </w:r>
          </w:p>
        </w:tc>
        <w:tc>
          <w:tcPr>
            <w:tcW w:w="3438" w:type="dxa"/>
          </w:tcPr>
          <w:p w14:paraId="56B2A12D" w14:textId="77777777" w:rsidR="004D0FA8" w:rsidRPr="00C2607B" w:rsidRDefault="004D0FA8" w:rsidP="00815958">
            <w:pPr>
              <w:cnfStyle w:val="000000100000" w:firstRow="0" w:lastRow="0" w:firstColumn="0" w:lastColumn="0" w:oddVBand="0" w:evenVBand="0" w:oddHBand="1" w:evenHBand="0" w:firstRowFirstColumn="0" w:firstRowLastColumn="0" w:lastRowFirstColumn="0" w:lastRowLastColumn="0"/>
              <w:rPr>
                <w:lang w:val="en-US"/>
              </w:rPr>
            </w:pPr>
            <w:r w:rsidRPr="00C2607B">
              <w:rPr>
                <w:lang w:val="en-US"/>
              </w:rPr>
              <w:t>1</w:t>
            </w:r>
          </w:p>
        </w:tc>
        <w:tc>
          <w:tcPr>
            <w:tcW w:w="6273" w:type="dxa"/>
          </w:tcPr>
          <w:p w14:paraId="1DDE3110" w14:textId="77777777" w:rsidR="004D0FA8" w:rsidRPr="00C2607B" w:rsidRDefault="004D0FA8" w:rsidP="00815958">
            <w:pPr>
              <w:cnfStyle w:val="000000100000" w:firstRow="0" w:lastRow="0" w:firstColumn="0" w:lastColumn="0" w:oddVBand="0" w:evenVBand="0" w:oddHBand="1" w:evenHBand="0" w:firstRowFirstColumn="0" w:firstRowLastColumn="0" w:lastRowFirstColumn="0" w:lastRowLastColumn="0"/>
              <w:rPr>
                <w:lang w:val="en-US"/>
              </w:rPr>
            </w:pPr>
            <w:r w:rsidRPr="00C2607B">
              <w:rPr>
                <w:lang w:val="en-US"/>
              </w:rPr>
              <w:t>Council minutes Oct 3, 2017</w:t>
            </w:r>
          </w:p>
        </w:tc>
      </w:tr>
      <w:tr w:rsidR="004D0FA8" w14:paraId="55047587" w14:textId="77777777" w:rsidTr="00445CFF">
        <w:trPr>
          <w:trHeight w:val="283"/>
        </w:trPr>
        <w:tc>
          <w:tcPr>
            <w:cnfStyle w:val="001000000000" w:firstRow="0" w:lastRow="0" w:firstColumn="1" w:lastColumn="0" w:oddVBand="0" w:evenVBand="0" w:oddHBand="0" w:evenHBand="0" w:firstRowFirstColumn="0" w:firstRowLastColumn="0" w:lastRowFirstColumn="0" w:lastRowLastColumn="0"/>
            <w:tcW w:w="3438" w:type="dxa"/>
          </w:tcPr>
          <w:p w14:paraId="3BF97EE3" w14:textId="77777777" w:rsidR="004D0FA8" w:rsidRDefault="004D0FA8" w:rsidP="00815958">
            <w:pPr>
              <w:rPr>
                <w:lang w:val="en-US"/>
              </w:rPr>
            </w:pPr>
            <w:r>
              <w:rPr>
                <w:lang w:val="en-US"/>
              </w:rPr>
              <w:t>Maximum floor area</w:t>
            </w:r>
          </w:p>
        </w:tc>
        <w:tc>
          <w:tcPr>
            <w:tcW w:w="3438" w:type="dxa"/>
          </w:tcPr>
          <w:p w14:paraId="6D85B10A" w14:textId="77777777" w:rsidR="004D0FA8" w:rsidRDefault="004D0FA8" w:rsidP="00815958">
            <w:pPr>
              <w:cnfStyle w:val="000000000000" w:firstRow="0" w:lastRow="0" w:firstColumn="0" w:lastColumn="0" w:oddVBand="0" w:evenVBand="0" w:oddHBand="0" w:evenHBand="0" w:firstRowFirstColumn="0" w:firstRowLastColumn="0" w:lastRowFirstColumn="0" w:lastRowLastColumn="0"/>
              <w:rPr>
                <w:lang w:val="en-US"/>
              </w:rPr>
            </w:pPr>
            <w:r>
              <w:rPr>
                <w:lang w:val="en-US"/>
              </w:rPr>
              <w:t>65 m2</w:t>
            </w:r>
          </w:p>
        </w:tc>
        <w:tc>
          <w:tcPr>
            <w:tcW w:w="6273" w:type="dxa"/>
          </w:tcPr>
          <w:p w14:paraId="3CE5C006" w14:textId="77777777" w:rsidR="004D0FA8" w:rsidRDefault="0040770B" w:rsidP="00815958">
            <w:pPr>
              <w:cnfStyle w:val="000000000000" w:firstRow="0" w:lastRow="0" w:firstColumn="0" w:lastColumn="0" w:oddVBand="0" w:evenVBand="0" w:oddHBand="0" w:evenHBand="0" w:firstRowFirstColumn="0" w:firstRowLastColumn="0" w:lastRowFirstColumn="0" w:lastRowLastColumn="0"/>
              <w:rPr>
                <w:lang w:val="en-US"/>
              </w:rPr>
            </w:pPr>
            <w:r w:rsidRPr="0040770B">
              <w:rPr>
                <w:lang w:val="en-US"/>
              </w:rPr>
              <w:t>Balances site coverage against tree and open space loss while permitting sufficient space to contain an efficiently designed two bedroom suite.</w:t>
            </w:r>
          </w:p>
        </w:tc>
      </w:tr>
      <w:tr w:rsidR="004D0FA8" w14:paraId="33AD0E1F" w14:textId="77777777" w:rsidTr="00445C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38" w:type="dxa"/>
          </w:tcPr>
          <w:p w14:paraId="271DA399" w14:textId="77777777" w:rsidR="004D0FA8" w:rsidRDefault="004D0FA8" w:rsidP="00815958">
            <w:pPr>
              <w:rPr>
                <w:lang w:val="en-US"/>
              </w:rPr>
            </w:pPr>
            <w:r>
              <w:rPr>
                <w:lang w:val="en-US"/>
              </w:rPr>
              <w:t>Lot coverage (all buildings)</w:t>
            </w:r>
          </w:p>
        </w:tc>
        <w:tc>
          <w:tcPr>
            <w:tcW w:w="3438" w:type="dxa"/>
          </w:tcPr>
          <w:p w14:paraId="3719D91C" w14:textId="77777777" w:rsidR="004D0FA8" w:rsidRDefault="00ED7BB5" w:rsidP="00815958">
            <w:pPr>
              <w:cnfStyle w:val="000000100000" w:firstRow="0" w:lastRow="0" w:firstColumn="0" w:lastColumn="0" w:oddVBand="0" w:evenVBand="0" w:oddHBand="1" w:evenHBand="0" w:firstRowFirstColumn="0" w:firstRowLastColumn="0" w:lastRowFirstColumn="0" w:lastRowLastColumn="0"/>
              <w:rPr>
                <w:lang w:val="en-US"/>
              </w:rPr>
            </w:pPr>
            <w:r>
              <w:rPr>
                <w:lang w:val="en-US"/>
              </w:rPr>
              <w:t>30</w:t>
            </w:r>
            <w:r w:rsidR="004D0FA8">
              <w:rPr>
                <w:lang w:val="en-US"/>
              </w:rPr>
              <w:t>%</w:t>
            </w:r>
          </w:p>
        </w:tc>
        <w:tc>
          <w:tcPr>
            <w:tcW w:w="6273" w:type="dxa"/>
          </w:tcPr>
          <w:p w14:paraId="75AAC74F" w14:textId="77777777" w:rsidR="004D0FA8" w:rsidRDefault="00ED7BB5" w:rsidP="00815958">
            <w:pPr>
              <w:cnfStyle w:val="000000100000" w:firstRow="0" w:lastRow="0" w:firstColumn="0" w:lastColumn="0" w:oddVBand="0" w:evenVBand="0" w:oddHBand="1" w:evenHBand="0" w:firstRowFirstColumn="0" w:firstRowLastColumn="0" w:lastRowFirstColumn="0" w:lastRowLastColumn="0"/>
              <w:rPr>
                <w:lang w:val="en-US"/>
              </w:rPr>
            </w:pPr>
            <w:r>
              <w:rPr>
                <w:lang w:val="en-US"/>
              </w:rPr>
              <w:t>As per existing RS-1 requirement</w:t>
            </w:r>
          </w:p>
        </w:tc>
      </w:tr>
      <w:tr w:rsidR="004D0FA8" w14:paraId="7F1F2412" w14:textId="77777777" w:rsidTr="00445CFF">
        <w:trPr>
          <w:trHeight w:val="283"/>
        </w:trPr>
        <w:tc>
          <w:tcPr>
            <w:cnfStyle w:val="001000000000" w:firstRow="0" w:lastRow="0" w:firstColumn="1" w:lastColumn="0" w:oddVBand="0" w:evenVBand="0" w:oddHBand="0" w:evenHBand="0" w:firstRowFirstColumn="0" w:firstRowLastColumn="0" w:lastRowFirstColumn="0" w:lastRowLastColumn="0"/>
            <w:tcW w:w="3438" w:type="dxa"/>
          </w:tcPr>
          <w:p w14:paraId="11038ECF" w14:textId="77777777" w:rsidR="004D0FA8" w:rsidRDefault="00275AE9" w:rsidP="00815958">
            <w:pPr>
              <w:rPr>
                <w:lang w:val="en-US"/>
              </w:rPr>
            </w:pPr>
            <w:r>
              <w:rPr>
                <w:lang w:val="en-US"/>
              </w:rPr>
              <w:t>Floor area ratio</w:t>
            </w:r>
          </w:p>
        </w:tc>
        <w:tc>
          <w:tcPr>
            <w:tcW w:w="3438" w:type="dxa"/>
          </w:tcPr>
          <w:p w14:paraId="508A62FB" w14:textId="77777777" w:rsidR="004D0FA8" w:rsidRDefault="00275AE9" w:rsidP="00815958">
            <w:pPr>
              <w:cnfStyle w:val="000000000000" w:firstRow="0" w:lastRow="0" w:firstColumn="0" w:lastColumn="0" w:oddVBand="0" w:evenVBand="0" w:oddHBand="0" w:evenHBand="0" w:firstRowFirstColumn="0" w:firstRowLastColumn="0" w:lastRowFirstColumn="0" w:lastRowLastColumn="0"/>
              <w:rPr>
                <w:lang w:val="en-US"/>
              </w:rPr>
            </w:pPr>
            <w:r>
              <w:rPr>
                <w:lang w:val="en-US"/>
              </w:rPr>
              <w:t>0.35</w:t>
            </w:r>
          </w:p>
        </w:tc>
        <w:tc>
          <w:tcPr>
            <w:tcW w:w="6273" w:type="dxa"/>
          </w:tcPr>
          <w:p w14:paraId="68041178" w14:textId="77777777" w:rsidR="004D0FA8" w:rsidRDefault="00275AE9" w:rsidP="00815958">
            <w:pPr>
              <w:cnfStyle w:val="000000000000" w:firstRow="0" w:lastRow="0" w:firstColumn="0" w:lastColumn="0" w:oddVBand="0" w:evenVBand="0" w:oddHBand="0" w:evenHBand="0" w:firstRowFirstColumn="0" w:firstRowLastColumn="0" w:lastRowFirstColumn="0" w:lastRowLastColumn="0"/>
              <w:rPr>
                <w:lang w:val="en-US"/>
              </w:rPr>
            </w:pPr>
            <w:r>
              <w:rPr>
                <w:lang w:val="en-US"/>
              </w:rPr>
              <w:t>As per existing RS-1 requirement</w:t>
            </w:r>
          </w:p>
        </w:tc>
      </w:tr>
      <w:tr w:rsidR="004D0FA8" w14:paraId="5E601B09" w14:textId="77777777" w:rsidTr="00445C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38" w:type="dxa"/>
          </w:tcPr>
          <w:p w14:paraId="68B7D3ED" w14:textId="77777777" w:rsidR="004D0FA8" w:rsidRDefault="004D0FA8" w:rsidP="00815958">
            <w:pPr>
              <w:rPr>
                <w:lang w:val="en-US"/>
              </w:rPr>
            </w:pPr>
            <w:r>
              <w:rPr>
                <w:lang w:val="en-US"/>
              </w:rPr>
              <w:t>Lot coverage (accessory only)</w:t>
            </w:r>
          </w:p>
        </w:tc>
        <w:tc>
          <w:tcPr>
            <w:tcW w:w="3438" w:type="dxa"/>
          </w:tcPr>
          <w:p w14:paraId="6F4A2202" w14:textId="77777777" w:rsidR="004D0FA8" w:rsidRDefault="00ED7BB5" w:rsidP="00815958">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10% </w:t>
            </w:r>
          </w:p>
        </w:tc>
        <w:tc>
          <w:tcPr>
            <w:tcW w:w="6273" w:type="dxa"/>
          </w:tcPr>
          <w:p w14:paraId="0A078AAF" w14:textId="77777777" w:rsidR="004D0FA8" w:rsidRDefault="00ED7BB5" w:rsidP="00815958">
            <w:pPr>
              <w:cnfStyle w:val="000000100000" w:firstRow="0" w:lastRow="0" w:firstColumn="0" w:lastColumn="0" w:oddVBand="0" w:evenVBand="0" w:oddHBand="1" w:evenHBand="0" w:firstRowFirstColumn="0" w:firstRowLastColumn="0" w:lastRowFirstColumn="0" w:lastRowLastColumn="0"/>
              <w:rPr>
                <w:lang w:val="en-US"/>
              </w:rPr>
            </w:pPr>
            <w:r>
              <w:rPr>
                <w:lang w:val="en-US"/>
              </w:rPr>
              <w:t>As per existing RS-1 requirement</w:t>
            </w:r>
          </w:p>
        </w:tc>
      </w:tr>
      <w:tr w:rsidR="004D0FA8" w14:paraId="17756E5A" w14:textId="77777777" w:rsidTr="00445CFF">
        <w:trPr>
          <w:trHeight w:val="283"/>
        </w:trPr>
        <w:tc>
          <w:tcPr>
            <w:cnfStyle w:val="001000000000" w:firstRow="0" w:lastRow="0" w:firstColumn="1" w:lastColumn="0" w:oddVBand="0" w:evenVBand="0" w:oddHBand="0" w:evenHBand="0" w:firstRowFirstColumn="0" w:firstRowLastColumn="0" w:lastRowFirstColumn="0" w:lastRowLastColumn="0"/>
            <w:tcW w:w="3438" w:type="dxa"/>
          </w:tcPr>
          <w:p w14:paraId="27FA22B4" w14:textId="77777777" w:rsidR="004D0FA8" w:rsidRDefault="004D0FA8" w:rsidP="00815958">
            <w:pPr>
              <w:rPr>
                <w:lang w:val="en-US"/>
              </w:rPr>
            </w:pPr>
            <w:r>
              <w:rPr>
                <w:lang w:val="en-US"/>
              </w:rPr>
              <w:t>Site coverage (rear yard only)</w:t>
            </w:r>
          </w:p>
        </w:tc>
        <w:tc>
          <w:tcPr>
            <w:tcW w:w="3438" w:type="dxa"/>
          </w:tcPr>
          <w:p w14:paraId="42122596" w14:textId="77777777" w:rsidR="004D0FA8" w:rsidRDefault="004D0FA8" w:rsidP="00815958">
            <w:pPr>
              <w:cnfStyle w:val="000000000000" w:firstRow="0" w:lastRow="0" w:firstColumn="0" w:lastColumn="0" w:oddVBand="0" w:evenVBand="0" w:oddHBand="0" w:evenHBand="0" w:firstRowFirstColumn="0" w:firstRowLastColumn="0" w:lastRowFirstColumn="0" w:lastRowLastColumn="0"/>
              <w:rPr>
                <w:lang w:val="en-US"/>
              </w:rPr>
            </w:pPr>
            <w:r>
              <w:rPr>
                <w:lang w:val="en-US"/>
              </w:rPr>
              <w:t>25%</w:t>
            </w:r>
          </w:p>
        </w:tc>
        <w:tc>
          <w:tcPr>
            <w:tcW w:w="6273" w:type="dxa"/>
          </w:tcPr>
          <w:p w14:paraId="4D38CF4C" w14:textId="77777777" w:rsidR="004D0FA8" w:rsidRDefault="00D00183" w:rsidP="00815958">
            <w:pPr>
              <w:cnfStyle w:val="000000000000" w:firstRow="0" w:lastRow="0" w:firstColumn="0" w:lastColumn="0" w:oddVBand="0" w:evenVBand="0" w:oddHBand="0" w:evenHBand="0" w:firstRowFirstColumn="0" w:firstRowLastColumn="0" w:lastRowFirstColumn="0" w:lastRowLastColumn="0"/>
              <w:rPr>
                <w:lang w:val="en-US"/>
              </w:rPr>
            </w:pPr>
            <w:r>
              <w:rPr>
                <w:lang w:val="en-US"/>
              </w:rPr>
              <w:t>Standard practice</w:t>
            </w:r>
          </w:p>
        </w:tc>
      </w:tr>
      <w:tr w:rsidR="004D0FA8" w14:paraId="5DBBD340" w14:textId="77777777" w:rsidTr="00445C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38" w:type="dxa"/>
          </w:tcPr>
          <w:p w14:paraId="0F174113" w14:textId="77777777" w:rsidR="004D0FA8" w:rsidRDefault="004D0FA8" w:rsidP="00815958">
            <w:pPr>
              <w:rPr>
                <w:lang w:val="en-US"/>
              </w:rPr>
            </w:pPr>
            <w:r>
              <w:rPr>
                <w:lang w:val="en-US"/>
              </w:rPr>
              <w:t>Height (maximum)</w:t>
            </w:r>
          </w:p>
        </w:tc>
        <w:tc>
          <w:tcPr>
            <w:tcW w:w="3438" w:type="dxa"/>
          </w:tcPr>
          <w:p w14:paraId="0A28293B" w14:textId="69C1A743" w:rsidR="004D0FA8" w:rsidRDefault="002F5C3C" w:rsidP="008D1DFC">
            <w:pPr>
              <w:cnfStyle w:val="000000100000" w:firstRow="0" w:lastRow="0" w:firstColumn="0" w:lastColumn="0" w:oddVBand="0" w:evenVBand="0" w:oddHBand="1" w:evenHBand="0" w:firstRowFirstColumn="0" w:firstRowLastColumn="0" w:lastRowFirstColumn="0" w:lastRowLastColumn="0"/>
              <w:rPr>
                <w:lang w:val="en-US"/>
              </w:rPr>
            </w:pPr>
            <w:r>
              <w:rPr>
                <w:lang w:val="en-US"/>
              </w:rPr>
              <w:t>4.2</w:t>
            </w:r>
            <w:r w:rsidR="004D0FA8">
              <w:rPr>
                <w:lang w:val="en-US"/>
              </w:rPr>
              <w:t xml:space="preserve"> m</w:t>
            </w:r>
            <w:r w:rsidR="008D1DFC">
              <w:rPr>
                <w:lang w:val="en-US"/>
              </w:rPr>
              <w:t xml:space="preserve"> </w:t>
            </w:r>
          </w:p>
        </w:tc>
        <w:tc>
          <w:tcPr>
            <w:tcW w:w="6273" w:type="dxa"/>
          </w:tcPr>
          <w:p w14:paraId="41C2802B" w14:textId="2AB9D167" w:rsidR="004D0FA8" w:rsidRDefault="002F5C3C" w:rsidP="00815958">
            <w:pPr>
              <w:cnfStyle w:val="000000100000" w:firstRow="0" w:lastRow="0" w:firstColumn="0" w:lastColumn="0" w:oddVBand="0" w:evenVBand="0" w:oddHBand="1" w:evenHBand="0" w:firstRowFirstColumn="0" w:firstRowLastColumn="0" w:lastRowFirstColumn="0" w:lastRowLastColumn="0"/>
              <w:rPr>
                <w:lang w:val="en-US"/>
              </w:rPr>
            </w:pPr>
            <w:r>
              <w:rPr>
                <w:lang w:val="en-US"/>
              </w:rPr>
              <w:t>Public feedback.  Allows additional ceiling height for livability</w:t>
            </w:r>
            <w:r w:rsidR="0040770B" w:rsidRPr="0040770B">
              <w:rPr>
                <w:lang w:val="en-US"/>
              </w:rPr>
              <w:t>.</w:t>
            </w:r>
          </w:p>
        </w:tc>
      </w:tr>
      <w:tr w:rsidR="00397656" w14:paraId="20996269" w14:textId="77777777" w:rsidTr="00445CFF">
        <w:trPr>
          <w:trHeight w:val="283"/>
        </w:trPr>
        <w:tc>
          <w:tcPr>
            <w:cnfStyle w:val="001000000000" w:firstRow="0" w:lastRow="0" w:firstColumn="1" w:lastColumn="0" w:oddVBand="0" w:evenVBand="0" w:oddHBand="0" w:evenHBand="0" w:firstRowFirstColumn="0" w:firstRowLastColumn="0" w:lastRowFirstColumn="0" w:lastRowLastColumn="0"/>
            <w:tcW w:w="3438" w:type="dxa"/>
          </w:tcPr>
          <w:p w14:paraId="09A43218" w14:textId="77777777" w:rsidR="00397656" w:rsidRDefault="00397656" w:rsidP="00815958">
            <w:pPr>
              <w:rPr>
                <w:lang w:val="en-US"/>
              </w:rPr>
            </w:pPr>
            <w:r>
              <w:rPr>
                <w:lang w:val="en-US"/>
              </w:rPr>
              <w:t>Height in relation to Principal Dwelling</w:t>
            </w:r>
          </w:p>
        </w:tc>
        <w:tc>
          <w:tcPr>
            <w:tcW w:w="3438" w:type="dxa"/>
          </w:tcPr>
          <w:p w14:paraId="7B226F26" w14:textId="77777777" w:rsidR="00397656" w:rsidRPr="006443DF" w:rsidRDefault="00397656" w:rsidP="00397656">
            <w:pPr>
              <w:cnfStyle w:val="000000000000" w:firstRow="0" w:lastRow="0" w:firstColumn="0" w:lastColumn="0" w:oddVBand="0" w:evenVBand="0" w:oddHBand="0" w:evenHBand="0" w:firstRowFirstColumn="0" w:firstRowLastColumn="0" w:lastRowFirstColumn="0" w:lastRowLastColumn="0"/>
              <w:rPr>
                <w:lang w:val="en-US"/>
              </w:rPr>
            </w:pPr>
            <w:r>
              <w:rPr>
                <w:lang w:val="en-US"/>
              </w:rPr>
              <w:t>The maximum height of a Garden suite should not be at an elevation higher than that of the principal dwelling.</w:t>
            </w:r>
          </w:p>
        </w:tc>
        <w:tc>
          <w:tcPr>
            <w:tcW w:w="6273" w:type="dxa"/>
          </w:tcPr>
          <w:p w14:paraId="730EF9FD" w14:textId="77777777" w:rsidR="00397656" w:rsidRDefault="00397656" w:rsidP="00815958">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To prevent overlook of garden suites onto the principal dwelling or that of </w:t>
            </w:r>
            <w:proofErr w:type="spellStart"/>
            <w:r>
              <w:rPr>
                <w:lang w:val="en-US"/>
              </w:rPr>
              <w:t>neighbours</w:t>
            </w:r>
            <w:proofErr w:type="spellEnd"/>
          </w:p>
        </w:tc>
      </w:tr>
    </w:tbl>
    <w:p w14:paraId="37612798" w14:textId="77777777" w:rsidR="00ED7BB5" w:rsidRDefault="00480A3D">
      <w:pPr>
        <w:rPr>
          <w:b/>
        </w:rPr>
      </w:pPr>
      <w:r>
        <w:rPr>
          <w:b/>
        </w:rPr>
        <w:t xml:space="preserve">Township of Esquimalt - </w:t>
      </w:r>
      <w:r w:rsidR="008544FC" w:rsidRPr="008544FC">
        <w:rPr>
          <w:b/>
        </w:rPr>
        <w:t xml:space="preserve">Proposed </w:t>
      </w:r>
      <w:r>
        <w:rPr>
          <w:b/>
        </w:rPr>
        <w:t xml:space="preserve">Detached Accessory Dwelling Unit </w:t>
      </w:r>
      <w:r w:rsidR="008544FC" w:rsidRPr="008544FC">
        <w:rPr>
          <w:b/>
        </w:rPr>
        <w:t>Design Guidelines</w:t>
      </w:r>
    </w:p>
    <w:p w14:paraId="2538B6B5" w14:textId="77777777" w:rsidR="00C92E44" w:rsidRPr="008544FC" w:rsidRDefault="00C92E44" w:rsidP="00C92E44">
      <w:pPr>
        <w:pStyle w:val="ListParagraph"/>
        <w:numPr>
          <w:ilvl w:val="0"/>
          <w:numId w:val="0"/>
        </w:numPr>
        <w:ind w:left="1080" w:hanging="1080"/>
        <w:rPr>
          <w:b/>
        </w:rPr>
      </w:pPr>
      <w:r w:rsidRPr="0028004D">
        <w:rPr>
          <w:i/>
          <w:lang w:val="en-US"/>
        </w:rPr>
        <w:t>Pre-existing DP guideline</w:t>
      </w:r>
      <w:r>
        <w:rPr>
          <w:i/>
          <w:lang w:val="en-US"/>
        </w:rPr>
        <w:t>s are italicized</w:t>
      </w:r>
    </w:p>
    <w:tbl>
      <w:tblPr>
        <w:tblStyle w:val="LightShading-Accent1"/>
        <w:tblW w:w="13149" w:type="dxa"/>
        <w:tblLook w:val="04A0" w:firstRow="1" w:lastRow="0" w:firstColumn="1" w:lastColumn="0" w:noHBand="0" w:noVBand="1"/>
      </w:tblPr>
      <w:tblGrid>
        <w:gridCol w:w="4219"/>
        <w:gridCol w:w="8930"/>
      </w:tblGrid>
      <w:tr w:rsidR="008544FC" w:rsidRPr="008544FC" w14:paraId="281CA61B" w14:textId="77777777" w:rsidTr="00C55925">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4219" w:type="dxa"/>
            <w:shd w:val="clear" w:color="auto" w:fill="8DB3E2" w:themeFill="text2" w:themeFillTint="66"/>
          </w:tcPr>
          <w:p w14:paraId="0BC5F1FC" w14:textId="77777777" w:rsidR="008544FC" w:rsidRPr="008544FC" w:rsidRDefault="00A84BF5" w:rsidP="00815958">
            <w:pPr>
              <w:rPr>
                <w:color w:val="FFFFFF" w:themeColor="background1"/>
                <w:lang w:val="en-US"/>
              </w:rPr>
            </w:pPr>
            <w:r>
              <w:rPr>
                <w:color w:val="FFFFFF" w:themeColor="background1"/>
                <w:lang w:val="en-US"/>
              </w:rPr>
              <w:t>Issue</w:t>
            </w:r>
          </w:p>
        </w:tc>
        <w:tc>
          <w:tcPr>
            <w:tcW w:w="8930" w:type="dxa"/>
            <w:shd w:val="clear" w:color="auto" w:fill="8DB3E2" w:themeFill="text2" w:themeFillTint="66"/>
          </w:tcPr>
          <w:p w14:paraId="43E0F4D0" w14:textId="77777777" w:rsidR="008544FC" w:rsidRPr="008544FC" w:rsidRDefault="00A84BF5" w:rsidP="00815958">
            <w:pPr>
              <w:cnfStyle w:val="100000000000" w:firstRow="1" w:lastRow="0" w:firstColumn="0" w:lastColumn="0" w:oddVBand="0" w:evenVBand="0" w:oddHBand="0" w:evenHBand="0" w:firstRowFirstColumn="0" w:firstRowLastColumn="0" w:lastRowFirstColumn="0" w:lastRowLastColumn="0"/>
              <w:rPr>
                <w:color w:val="FFFFFF" w:themeColor="background1"/>
                <w:lang w:val="en-US"/>
              </w:rPr>
            </w:pPr>
            <w:r>
              <w:rPr>
                <w:color w:val="FFFFFF" w:themeColor="background1"/>
                <w:lang w:val="en-US"/>
              </w:rPr>
              <w:t>Guideline</w:t>
            </w:r>
          </w:p>
        </w:tc>
      </w:tr>
      <w:tr w:rsidR="008544FC" w14:paraId="5404373D" w14:textId="77777777" w:rsidTr="00C559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Pr>
          <w:p w14:paraId="6E1D2BC7" w14:textId="77777777" w:rsidR="008544FC" w:rsidRDefault="00C55925" w:rsidP="00C55925">
            <w:pPr>
              <w:rPr>
                <w:lang w:val="en-US"/>
              </w:rPr>
            </w:pPr>
            <w:r>
              <w:rPr>
                <w:lang w:val="en-US"/>
              </w:rPr>
              <w:t>Overlook</w:t>
            </w:r>
          </w:p>
        </w:tc>
        <w:tc>
          <w:tcPr>
            <w:tcW w:w="8930" w:type="dxa"/>
          </w:tcPr>
          <w:p w14:paraId="7025668E" w14:textId="77777777" w:rsidR="008544FC" w:rsidRDefault="00C55925" w:rsidP="0028004D">
            <w:pPr>
              <w:cnfStyle w:val="000000100000" w:firstRow="0" w:lastRow="0" w:firstColumn="0" w:lastColumn="0" w:oddVBand="0" w:evenVBand="0" w:oddHBand="1" w:evenHBand="0" w:firstRowFirstColumn="0" w:firstRowLastColumn="0" w:lastRowFirstColumn="0" w:lastRowLastColumn="0"/>
              <w:rPr>
                <w:i/>
                <w:lang w:val="en-US"/>
              </w:rPr>
            </w:pPr>
            <w:r w:rsidRPr="0028004D">
              <w:rPr>
                <w:i/>
                <w:lang w:val="en-US"/>
              </w:rPr>
              <w:t xml:space="preserve">Buildings should be designed to minimize visual intrusion on to the privacy of surrounding homes. Some overlook of adjoining yards and </w:t>
            </w:r>
            <w:proofErr w:type="spellStart"/>
            <w:r w:rsidRPr="0028004D">
              <w:rPr>
                <w:i/>
                <w:lang w:val="en-US"/>
              </w:rPr>
              <w:t>neighbouring</w:t>
            </w:r>
            <w:proofErr w:type="spellEnd"/>
            <w:r w:rsidRPr="0028004D">
              <w:rPr>
                <w:i/>
                <w:lang w:val="en-US"/>
              </w:rPr>
              <w:t xml:space="preserve"> decks may be unavoidable; however, additional privacy should be achieved by insetting balconies, decks and patios into the building or by screening them with latticework or landscaping. Windows should be spaced so that they do not align directly with those of other buildings.</w:t>
            </w:r>
          </w:p>
          <w:p w14:paraId="65DC39C3" w14:textId="77777777" w:rsidR="00097747" w:rsidRDefault="00097747" w:rsidP="0028004D">
            <w:pPr>
              <w:cnfStyle w:val="000000100000" w:firstRow="0" w:lastRow="0" w:firstColumn="0" w:lastColumn="0" w:oddVBand="0" w:evenVBand="0" w:oddHBand="1" w:evenHBand="0" w:firstRowFirstColumn="0" w:firstRowLastColumn="0" w:lastRowFirstColumn="0" w:lastRowLastColumn="0"/>
              <w:rPr>
                <w:lang w:val="en-US"/>
              </w:rPr>
            </w:pPr>
            <w:r>
              <w:rPr>
                <w:lang w:val="en-US"/>
              </w:rPr>
              <w:t>Windows oriented towards adjacent properties are discouraged, unless it can be demonstrated that overlook is mitigated by a design or natural feature.</w:t>
            </w:r>
          </w:p>
          <w:p w14:paraId="4CA0E87F" w14:textId="77777777" w:rsidR="0053302D" w:rsidRPr="0053302D" w:rsidRDefault="0053302D" w:rsidP="0028004D">
            <w:pPr>
              <w:cnfStyle w:val="000000100000" w:firstRow="0" w:lastRow="0" w:firstColumn="0" w:lastColumn="0" w:oddVBand="0" w:evenVBand="0" w:oddHBand="1" w:evenHBand="0" w:firstRowFirstColumn="0" w:firstRowLastColumn="0" w:lastRowFirstColumn="0" w:lastRowLastColumn="0"/>
              <w:rPr>
                <w:lang w:val="en-US"/>
              </w:rPr>
            </w:pPr>
            <w:r w:rsidRPr="0053302D">
              <w:rPr>
                <w:lang w:val="en-US"/>
              </w:rPr>
              <w:t>Roof decks and balconies on the roof are not permitted.</w:t>
            </w:r>
          </w:p>
        </w:tc>
      </w:tr>
      <w:tr w:rsidR="008544FC" w14:paraId="2613121D" w14:textId="77777777" w:rsidTr="00C55925">
        <w:trPr>
          <w:trHeight w:val="283"/>
        </w:trPr>
        <w:tc>
          <w:tcPr>
            <w:cnfStyle w:val="001000000000" w:firstRow="0" w:lastRow="0" w:firstColumn="1" w:lastColumn="0" w:oddVBand="0" w:evenVBand="0" w:oddHBand="0" w:evenHBand="0" w:firstRowFirstColumn="0" w:firstRowLastColumn="0" w:lastRowFirstColumn="0" w:lastRowLastColumn="0"/>
            <w:tcW w:w="4219" w:type="dxa"/>
          </w:tcPr>
          <w:p w14:paraId="40C7F69A" w14:textId="77777777" w:rsidR="008544FC" w:rsidRDefault="004B2B50" w:rsidP="00815958">
            <w:pPr>
              <w:rPr>
                <w:lang w:val="en-US"/>
              </w:rPr>
            </w:pPr>
            <w:r>
              <w:rPr>
                <w:lang w:val="en-US"/>
              </w:rPr>
              <w:t>Protecting mature trees and sensitive habitat</w:t>
            </w:r>
          </w:p>
        </w:tc>
        <w:tc>
          <w:tcPr>
            <w:tcW w:w="8930" w:type="dxa"/>
          </w:tcPr>
          <w:p w14:paraId="524C4ACF" w14:textId="77777777" w:rsidR="008544FC" w:rsidRPr="0028004D" w:rsidRDefault="0028004D" w:rsidP="00815958">
            <w:pPr>
              <w:cnfStyle w:val="000000000000" w:firstRow="0" w:lastRow="0" w:firstColumn="0" w:lastColumn="0" w:oddVBand="0" w:evenVBand="0" w:oddHBand="0" w:evenHBand="0" w:firstRowFirstColumn="0" w:firstRowLastColumn="0" w:lastRowFirstColumn="0" w:lastRowLastColumn="0"/>
              <w:rPr>
                <w:i/>
                <w:lang w:val="en-US"/>
              </w:rPr>
            </w:pPr>
            <w:r w:rsidRPr="0028004D">
              <w:rPr>
                <w:i/>
                <w:lang w:val="en-US"/>
              </w:rPr>
              <w:t xml:space="preserve">Retain existing healthy native trees, vegetation, rock outcrops and soil wherever possible. </w:t>
            </w:r>
          </w:p>
          <w:p w14:paraId="53DED15F" w14:textId="77777777" w:rsidR="0028004D" w:rsidRDefault="0028004D" w:rsidP="00097747">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Siting should respect mature trees both on-site </w:t>
            </w:r>
            <w:r w:rsidR="00097747">
              <w:rPr>
                <w:lang w:val="en-US"/>
              </w:rPr>
              <w:t xml:space="preserve">and on adjacent properties by </w:t>
            </w:r>
            <w:r>
              <w:rPr>
                <w:lang w:val="en-US"/>
              </w:rPr>
              <w:t>locating the garden suite to minimize the impact on a tree’s root system.  A certified arborist report may be required as part of the application.</w:t>
            </w:r>
          </w:p>
        </w:tc>
      </w:tr>
      <w:tr w:rsidR="008544FC" w14:paraId="7E38FCDD" w14:textId="77777777" w:rsidTr="00C559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Pr>
          <w:p w14:paraId="44AAABE4" w14:textId="77777777" w:rsidR="008544FC" w:rsidRDefault="004B2B50" w:rsidP="00815958">
            <w:pPr>
              <w:rPr>
                <w:lang w:val="en-US"/>
              </w:rPr>
            </w:pPr>
            <w:r>
              <w:rPr>
                <w:lang w:val="en-US"/>
              </w:rPr>
              <w:t>Impervious surfaces</w:t>
            </w:r>
          </w:p>
        </w:tc>
        <w:tc>
          <w:tcPr>
            <w:tcW w:w="8930" w:type="dxa"/>
          </w:tcPr>
          <w:p w14:paraId="62911CFF" w14:textId="77777777" w:rsidR="008544FC" w:rsidRDefault="0028004D" w:rsidP="00815958">
            <w:pPr>
              <w:cnfStyle w:val="000000100000" w:firstRow="0" w:lastRow="0" w:firstColumn="0" w:lastColumn="0" w:oddVBand="0" w:evenVBand="0" w:oddHBand="1" w:evenHBand="0" w:firstRowFirstColumn="0" w:firstRowLastColumn="0" w:lastRowFirstColumn="0" w:lastRowLastColumn="0"/>
              <w:rPr>
                <w:i/>
                <w:lang w:val="en-US"/>
              </w:rPr>
            </w:pPr>
            <w:r w:rsidRPr="0028004D">
              <w:rPr>
                <w:i/>
                <w:lang w:val="en-US"/>
              </w:rPr>
              <w:t xml:space="preserve">Maximize the ratio of planted and pervious surfaces to unplanted surfaces, and design paved areas to direct water towards vegetated areas, to help reduce surface run off. </w:t>
            </w:r>
          </w:p>
          <w:p w14:paraId="7412544D" w14:textId="77777777" w:rsidR="0053302D" w:rsidRPr="0028004D" w:rsidRDefault="0053302D" w:rsidP="0053302D">
            <w:pPr>
              <w:cnfStyle w:val="000000100000" w:firstRow="0" w:lastRow="0" w:firstColumn="0" w:lastColumn="0" w:oddVBand="0" w:evenVBand="0" w:oddHBand="1" w:evenHBand="0" w:firstRowFirstColumn="0" w:firstRowLastColumn="0" w:lastRowFirstColumn="0" w:lastRowLastColumn="0"/>
              <w:rPr>
                <w:i/>
                <w:lang w:val="en-US"/>
              </w:rPr>
            </w:pPr>
            <w:r>
              <w:rPr>
                <w:i/>
                <w:lang w:val="en-US"/>
              </w:rPr>
              <w:t>Use porous surfaces to enhance stormwater infiltration;</w:t>
            </w:r>
            <w:r w:rsidR="00BF3A3F">
              <w:rPr>
                <w:i/>
                <w:lang w:val="en-US"/>
              </w:rPr>
              <w:t xml:space="preserve"> </w:t>
            </w:r>
            <w:r>
              <w:rPr>
                <w:i/>
                <w:lang w:val="en-US"/>
              </w:rPr>
              <w:t xml:space="preserve">permeable paving is preferable for all open air parking areas.  </w:t>
            </w:r>
          </w:p>
        </w:tc>
      </w:tr>
      <w:tr w:rsidR="008544FC" w14:paraId="319B2B96" w14:textId="77777777" w:rsidTr="00C55925">
        <w:trPr>
          <w:trHeight w:val="283"/>
        </w:trPr>
        <w:tc>
          <w:tcPr>
            <w:cnfStyle w:val="001000000000" w:firstRow="0" w:lastRow="0" w:firstColumn="1" w:lastColumn="0" w:oddVBand="0" w:evenVBand="0" w:oddHBand="0" w:evenHBand="0" w:firstRowFirstColumn="0" w:firstRowLastColumn="0" w:lastRowFirstColumn="0" w:lastRowLastColumn="0"/>
            <w:tcW w:w="4219" w:type="dxa"/>
          </w:tcPr>
          <w:p w14:paraId="6B49A3E4" w14:textId="77777777" w:rsidR="008544FC" w:rsidRDefault="004B2B50" w:rsidP="00815958">
            <w:pPr>
              <w:rPr>
                <w:lang w:val="en-US"/>
              </w:rPr>
            </w:pPr>
            <w:r>
              <w:rPr>
                <w:lang w:val="en-US"/>
              </w:rPr>
              <w:t>Design</w:t>
            </w:r>
          </w:p>
        </w:tc>
        <w:tc>
          <w:tcPr>
            <w:tcW w:w="8930" w:type="dxa"/>
          </w:tcPr>
          <w:p w14:paraId="03215A8B" w14:textId="77777777" w:rsidR="008544FC" w:rsidRPr="0053302D" w:rsidRDefault="008D666F" w:rsidP="00815958">
            <w:pPr>
              <w:cnfStyle w:val="000000000000" w:firstRow="0" w:lastRow="0" w:firstColumn="0" w:lastColumn="0" w:oddVBand="0" w:evenVBand="0" w:oddHBand="0" w:evenHBand="0" w:firstRowFirstColumn="0" w:firstRowLastColumn="0" w:lastRowFirstColumn="0" w:lastRowLastColumn="0"/>
              <w:rPr>
                <w:i/>
                <w:lang w:val="en-US"/>
              </w:rPr>
            </w:pPr>
            <w:r w:rsidRPr="0053302D">
              <w:rPr>
                <w:i/>
                <w:lang w:val="en-US"/>
              </w:rPr>
              <w:t>To create interest in the façade of the buildings facing the street, the incorporation of architectural elements such as bay windows, covered porches, verandas and prominent front doors is encouraged</w:t>
            </w:r>
            <w:r w:rsidR="0053302D">
              <w:rPr>
                <w:i/>
                <w:lang w:val="en-US"/>
              </w:rPr>
              <w:t>.</w:t>
            </w:r>
          </w:p>
        </w:tc>
      </w:tr>
      <w:tr w:rsidR="008544FC" w14:paraId="11F136D5" w14:textId="77777777" w:rsidTr="00C559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Pr>
          <w:p w14:paraId="28E3EFF7" w14:textId="77777777" w:rsidR="008544FC" w:rsidRDefault="004B2B50" w:rsidP="00815958">
            <w:pPr>
              <w:rPr>
                <w:lang w:val="en-US"/>
              </w:rPr>
            </w:pPr>
            <w:r>
              <w:rPr>
                <w:lang w:val="en-US"/>
              </w:rPr>
              <w:t>Massing</w:t>
            </w:r>
          </w:p>
        </w:tc>
        <w:tc>
          <w:tcPr>
            <w:tcW w:w="8930" w:type="dxa"/>
          </w:tcPr>
          <w:p w14:paraId="4B79925F" w14:textId="77777777" w:rsidR="008544FC" w:rsidRDefault="00C5570B" w:rsidP="00815958">
            <w:pPr>
              <w:cnfStyle w:val="000000100000" w:firstRow="0" w:lastRow="0" w:firstColumn="0" w:lastColumn="0" w:oddVBand="0" w:evenVBand="0" w:oddHBand="1" w:evenHBand="0" w:firstRowFirstColumn="0" w:firstRowLastColumn="0" w:lastRowFirstColumn="0" w:lastRowLastColumn="0"/>
              <w:rPr>
                <w:lang w:val="en-US"/>
              </w:rPr>
            </w:pPr>
            <w:r>
              <w:rPr>
                <w:lang w:val="en-US"/>
              </w:rPr>
              <w:t>On sloping sites, the scale, mass and location of the garden suite should adapt to the topography and natural features.  View from adjacent properties should be considered in the design of the garden suite.</w:t>
            </w:r>
          </w:p>
        </w:tc>
      </w:tr>
      <w:tr w:rsidR="008544FC" w14:paraId="50C52A43" w14:textId="77777777" w:rsidTr="00C55925">
        <w:trPr>
          <w:trHeight w:val="283"/>
        </w:trPr>
        <w:tc>
          <w:tcPr>
            <w:cnfStyle w:val="001000000000" w:firstRow="0" w:lastRow="0" w:firstColumn="1" w:lastColumn="0" w:oddVBand="0" w:evenVBand="0" w:oddHBand="0" w:evenHBand="0" w:firstRowFirstColumn="0" w:firstRowLastColumn="0" w:lastRowFirstColumn="0" w:lastRowLastColumn="0"/>
            <w:tcW w:w="4219" w:type="dxa"/>
          </w:tcPr>
          <w:p w14:paraId="6DD14791" w14:textId="77777777" w:rsidR="008544FC" w:rsidRDefault="004B2B50" w:rsidP="00815958">
            <w:pPr>
              <w:rPr>
                <w:lang w:val="en-US"/>
              </w:rPr>
            </w:pPr>
            <w:r>
              <w:rPr>
                <w:lang w:val="en-US"/>
              </w:rPr>
              <w:t>Lighting</w:t>
            </w:r>
          </w:p>
        </w:tc>
        <w:tc>
          <w:tcPr>
            <w:tcW w:w="8930" w:type="dxa"/>
          </w:tcPr>
          <w:p w14:paraId="10B37CBD" w14:textId="77777777" w:rsidR="008544FC" w:rsidRPr="0053302D" w:rsidRDefault="0053302D" w:rsidP="00815958">
            <w:pPr>
              <w:cnfStyle w:val="000000000000" w:firstRow="0" w:lastRow="0" w:firstColumn="0" w:lastColumn="0" w:oddVBand="0" w:evenVBand="0" w:oddHBand="0" w:evenHBand="0" w:firstRowFirstColumn="0" w:firstRowLastColumn="0" w:lastRowFirstColumn="0" w:lastRowLastColumn="0"/>
              <w:rPr>
                <w:i/>
                <w:lang w:val="en-US"/>
              </w:rPr>
            </w:pPr>
            <w:r>
              <w:rPr>
                <w:i/>
                <w:lang w:val="en-US"/>
              </w:rPr>
              <w:t>Use International Dark-Sky Association approved lighting fixtures in outdoor locations.  Outdoor lighting shall be no brighter than necessary, be fully shielded, have minimal blue light emissions and only be on when needed.  Avoid vanity lighting, and lighting directed into the night sky and tree tops.</w:t>
            </w:r>
          </w:p>
        </w:tc>
      </w:tr>
      <w:tr w:rsidR="008544FC" w14:paraId="24899B48" w14:textId="77777777" w:rsidTr="00C559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Pr>
          <w:p w14:paraId="36F330BF" w14:textId="77777777" w:rsidR="008544FC" w:rsidRDefault="004B2B50" w:rsidP="00815958">
            <w:pPr>
              <w:rPr>
                <w:lang w:val="en-US"/>
              </w:rPr>
            </w:pPr>
            <w:r>
              <w:rPr>
                <w:lang w:val="en-US"/>
              </w:rPr>
              <w:t>Entryway</w:t>
            </w:r>
            <w:r w:rsidR="00297C98">
              <w:rPr>
                <w:lang w:val="en-US"/>
              </w:rPr>
              <w:t xml:space="preserve"> design and orientation</w:t>
            </w:r>
          </w:p>
        </w:tc>
        <w:tc>
          <w:tcPr>
            <w:tcW w:w="8930" w:type="dxa"/>
          </w:tcPr>
          <w:p w14:paraId="2AA1D226" w14:textId="77777777" w:rsidR="00BF3A3F" w:rsidRDefault="00455BEF" w:rsidP="00455BEF">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The entrance to the garden suite should be </w:t>
            </w:r>
            <w:r w:rsidR="00097747">
              <w:rPr>
                <w:lang w:val="en-US"/>
              </w:rPr>
              <w:t xml:space="preserve">oriented to and visible from </w:t>
            </w:r>
            <w:r>
              <w:rPr>
                <w:lang w:val="en-US"/>
              </w:rPr>
              <w:t xml:space="preserve">the street, </w:t>
            </w:r>
            <w:proofErr w:type="spellStart"/>
            <w:r>
              <w:rPr>
                <w:lang w:val="en-US"/>
              </w:rPr>
              <w:t>well lit</w:t>
            </w:r>
            <w:proofErr w:type="spellEnd"/>
            <w:r>
              <w:rPr>
                <w:lang w:val="en-US"/>
              </w:rPr>
              <w:t xml:space="preserve"> and provide protection from the elements</w:t>
            </w:r>
            <w:r w:rsidR="00BE7E28">
              <w:rPr>
                <w:lang w:val="en-US"/>
              </w:rPr>
              <w:t xml:space="preserve"> by either a projecting roof or by recessing the front door. </w:t>
            </w:r>
          </w:p>
          <w:p w14:paraId="1D07CF94" w14:textId="77777777" w:rsidR="008544FC" w:rsidRDefault="00BE7E28" w:rsidP="00455BEF">
            <w:pPr>
              <w:cnfStyle w:val="000000100000" w:firstRow="0" w:lastRow="0" w:firstColumn="0" w:lastColumn="0" w:oddVBand="0" w:evenVBand="0" w:oddHBand="1" w:evenHBand="0" w:firstRowFirstColumn="0" w:firstRowLastColumn="0" w:lastRowFirstColumn="0" w:lastRowLastColumn="0"/>
              <w:rPr>
                <w:lang w:val="en-US"/>
              </w:rPr>
            </w:pPr>
            <w:r>
              <w:rPr>
                <w:lang w:val="en-US"/>
              </w:rPr>
              <w:t>On corner lots and laneways, the primary entry to the garden suite should be oriented to the side street or laneway, rather than the front lot line.</w:t>
            </w:r>
            <w:r w:rsidR="003D3D9D">
              <w:rPr>
                <w:lang w:val="en-US"/>
              </w:rPr>
              <w:t xml:space="preserve"> If this orientation is not possible, the entryway should face the interior of the lot rather than the exterior.</w:t>
            </w:r>
          </w:p>
          <w:p w14:paraId="4FB31717" w14:textId="77777777" w:rsidR="00B867D2" w:rsidRDefault="00B867D2" w:rsidP="00455BEF">
            <w:pPr>
              <w:cnfStyle w:val="000000100000" w:firstRow="0" w:lastRow="0" w:firstColumn="0" w:lastColumn="0" w:oddVBand="0" w:evenVBand="0" w:oddHBand="1" w:evenHBand="0" w:firstRowFirstColumn="0" w:firstRowLastColumn="0" w:lastRowFirstColumn="0" w:lastRowLastColumn="0"/>
              <w:rPr>
                <w:lang w:val="en-US"/>
              </w:rPr>
            </w:pPr>
            <w:r>
              <w:rPr>
                <w:lang w:val="en-US"/>
              </w:rPr>
              <w:t>A minimum 1</w:t>
            </w:r>
            <w:r w:rsidR="003D3D9D">
              <w:rPr>
                <w:lang w:val="en-US"/>
              </w:rPr>
              <w:t>.2</w:t>
            </w:r>
            <w:r>
              <w:rPr>
                <w:lang w:val="en-US"/>
              </w:rPr>
              <w:t xml:space="preserve"> m wide, unobstructed pathway must be provided to the front door of the garden suite from the street or laneway.</w:t>
            </w:r>
          </w:p>
        </w:tc>
      </w:tr>
      <w:tr w:rsidR="008544FC" w14:paraId="314CBF57" w14:textId="77777777" w:rsidTr="00C55925">
        <w:trPr>
          <w:trHeight w:val="283"/>
        </w:trPr>
        <w:tc>
          <w:tcPr>
            <w:cnfStyle w:val="001000000000" w:firstRow="0" w:lastRow="0" w:firstColumn="1" w:lastColumn="0" w:oddVBand="0" w:evenVBand="0" w:oddHBand="0" w:evenHBand="0" w:firstRowFirstColumn="0" w:firstRowLastColumn="0" w:lastRowFirstColumn="0" w:lastRowLastColumn="0"/>
            <w:tcW w:w="4219" w:type="dxa"/>
          </w:tcPr>
          <w:p w14:paraId="4E16EF66" w14:textId="77777777" w:rsidR="008544FC" w:rsidRDefault="004B2B50" w:rsidP="00815958">
            <w:pPr>
              <w:rPr>
                <w:lang w:val="en-US"/>
              </w:rPr>
            </w:pPr>
            <w:r>
              <w:rPr>
                <w:lang w:val="en-US"/>
              </w:rPr>
              <w:t>External mechanical equipment</w:t>
            </w:r>
          </w:p>
        </w:tc>
        <w:tc>
          <w:tcPr>
            <w:tcW w:w="8930" w:type="dxa"/>
          </w:tcPr>
          <w:p w14:paraId="60EAF884" w14:textId="77777777" w:rsidR="008544FC" w:rsidRPr="00BF3A3F" w:rsidRDefault="009802E9" w:rsidP="00BF3A3F">
            <w:pPr>
              <w:cnfStyle w:val="000000000000" w:firstRow="0" w:lastRow="0" w:firstColumn="0" w:lastColumn="0" w:oddVBand="0" w:evenVBand="0" w:oddHBand="0" w:evenHBand="0" w:firstRowFirstColumn="0" w:firstRowLastColumn="0" w:lastRowFirstColumn="0" w:lastRowLastColumn="0"/>
              <w:rPr>
                <w:i/>
                <w:lang w:val="en-US"/>
              </w:rPr>
            </w:pPr>
            <w:r w:rsidRPr="00BF3A3F">
              <w:rPr>
                <w:i/>
                <w:lang w:val="en-US"/>
              </w:rPr>
              <w:t xml:space="preserve">Hydro utility meters and mechanical systems should not be placed on the front façade of a building and, if placed in a manner which is visible from the street, will be appropriately screened by the owner in a manner consistent with </w:t>
            </w:r>
            <w:r w:rsidR="00BF3A3F">
              <w:rPr>
                <w:i/>
                <w:lang w:val="en-US"/>
              </w:rPr>
              <w:t>BC Hydro</w:t>
            </w:r>
            <w:r w:rsidRPr="00BF3A3F">
              <w:rPr>
                <w:i/>
                <w:lang w:val="en-US"/>
              </w:rPr>
              <w:t xml:space="preserve"> requirements.</w:t>
            </w:r>
            <w:r w:rsidR="00596E66" w:rsidRPr="00BF3A3F">
              <w:rPr>
                <w:i/>
                <w:lang w:val="en-US"/>
              </w:rPr>
              <w:t>*</w:t>
            </w:r>
          </w:p>
        </w:tc>
      </w:tr>
      <w:tr w:rsidR="008544FC" w14:paraId="5833A392" w14:textId="77777777" w:rsidTr="00C559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Pr>
          <w:p w14:paraId="685528D8" w14:textId="77777777" w:rsidR="008544FC" w:rsidRDefault="004B2B50" w:rsidP="00815958">
            <w:pPr>
              <w:rPr>
                <w:lang w:val="en-US"/>
              </w:rPr>
            </w:pPr>
            <w:r>
              <w:rPr>
                <w:lang w:val="en-US"/>
              </w:rPr>
              <w:t>Roof form</w:t>
            </w:r>
          </w:p>
        </w:tc>
        <w:tc>
          <w:tcPr>
            <w:tcW w:w="8930" w:type="dxa"/>
          </w:tcPr>
          <w:p w14:paraId="260CE82C" w14:textId="77777777" w:rsidR="008544FC" w:rsidRPr="0028004D" w:rsidRDefault="00596E66" w:rsidP="00815958">
            <w:pPr>
              <w:cnfStyle w:val="000000100000" w:firstRow="0" w:lastRow="0" w:firstColumn="0" w:lastColumn="0" w:oddVBand="0" w:evenVBand="0" w:oddHBand="1" w:evenHBand="0" w:firstRowFirstColumn="0" w:firstRowLastColumn="0" w:lastRowFirstColumn="0" w:lastRowLastColumn="0"/>
              <w:rPr>
                <w:i/>
                <w:lang w:val="en-US"/>
              </w:rPr>
            </w:pPr>
            <w:r w:rsidRPr="0028004D">
              <w:rPr>
                <w:i/>
                <w:lang w:val="en-US"/>
              </w:rPr>
              <w:t>Rooflines of new development should relate in height, shape and pitch to existing residential buildings in the immediate area. For corner sites, the building design should avoid having large unbroken sloped roof areas facing the street.*</w:t>
            </w:r>
          </w:p>
        </w:tc>
      </w:tr>
      <w:tr w:rsidR="008544FC" w14:paraId="637C5221" w14:textId="77777777" w:rsidTr="00C55925">
        <w:trPr>
          <w:trHeight w:val="283"/>
        </w:trPr>
        <w:tc>
          <w:tcPr>
            <w:cnfStyle w:val="001000000000" w:firstRow="0" w:lastRow="0" w:firstColumn="1" w:lastColumn="0" w:oddVBand="0" w:evenVBand="0" w:oddHBand="0" w:evenHBand="0" w:firstRowFirstColumn="0" w:firstRowLastColumn="0" w:lastRowFirstColumn="0" w:lastRowLastColumn="0"/>
            <w:tcW w:w="4219" w:type="dxa"/>
          </w:tcPr>
          <w:p w14:paraId="5016EBBC" w14:textId="77777777" w:rsidR="008544FC" w:rsidRDefault="004B2B50" w:rsidP="00815958">
            <w:pPr>
              <w:rPr>
                <w:lang w:val="en-US"/>
              </w:rPr>
            </w:pPr>
            <w:r>
              <w:rPr>
                <w:lang w:val="en-US"/>
              </w:rPr>
              <w:t>Outdoor space</w:t>
            </w:r>
          </w:p>
        </w:tc>
        <w:tc>
          <w:tcPr>
            <w:tcW w:w="8930" w:type="dxa"/>
          </w:tcPr>
          <w:p w14:paraId="1A5E6104" w14:textId="77777777" w:rsidR="00631409" w:rsidRDefault="00631409" w:rsidP="00631409">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garden suite should be provided with a minimum of </w:t>
            </w:r>
            <w:r w:rsidR="008D666F">
              <w:rPr>
                <w:lang w:val="en-US"/>
              </w:rPr>
              <w:t>20 m</w:t>
            </w:r>
            <w:r w:rsidR="008D666F" w:rsidRPr="00631409">
              <w:rPr>
                <w:vertAlign w:val="superscript"/>
                <w:lang w:val="en-US"/>
              </w:rPr>
              <w:t>2</w:t>
            </w:r>
            <w:r w:rsidR="008D666F">
              <w:rPr>
                <w:lang w:val="en-US"/>
              </w:rPr>
              <w:t xml:space="preserve"> </w:t>
            </w:r>
            <w:r>
              <w:rPr>
                <w:lang w:val="en-US"/>
              </w:rPr>
              <w:t>of open space at grade, separate and distinct from that for the principal dwelling.</w:t>
            </w:r>
          </w:p>
          <w:p w14:paraId="31BCA880" w14:textId="77777777" w:rsidR="008544FC" w:rsidRDefault="00631409" w:rsidP="00631409">
            <w:pPr>
              <w:cnfStyle w:val="000000000000" w:firstRow="0" w:lastRow="0" w:firstColumn="0" w:lastColumn="0" w:oddVBand="0" w:evenVBand="0" w:oddHBand="0" w:evenHBand="0" w:firstRowFirstColumn="0" w:firstRowLastColumn="0" w:lastRowFirstColumn="0" w:lastRowLastColumn="0"/>
              <w:rPr>
                <w:lang w:val="en-US"/>
              </w:rPr>
            </w:pPr>
            <w:r>
              <w:rPr>
                <w:lang w:val="en-US"/>
              </w:rPr>
              <w:t>Open space should</w:t>
            </w:r>
            <w:r w:rsidR="008D666F">
              <w:rPr>
                <w:lang w:val="en-US"/>
              </w:rPr>
              <w:t xml:space="preserve"> be immediately adjacent to and accessible from the garden suite and be </w:t>
            </w:r>
            <w:r w:rsidR="008652DD">
              <w:rPr>
                <w:lang w:val="en-US"/>
              </w:rPr>
              <w:t xml:space="preserve">defined and screened through the use of landscaping, plantings, fences or trellises and/or changes in grade. </w:t>
            </w:r>
          </w:p>
          <w:p w14:paraId="2D990C5F" w14:textId="77777777" w:rsidR="00445CFF" w:rsidRDefault="00445CFF" w:rsidP="00631409">
            <w:pPr>
              <w:cnfStyle w:val="000000000000" w:firstRow="0" w:lastRow="0" w:firstColumn="0" w:lastColumn="0" w:oddVBand="0" w:evenVBand="0" w:oddHBand="0" w:evenHBand="0" w:firstRowFirstColumn="0" w:firstRowLastColumn="0" w:lastRowFirstColumn="0" w:lastRowLastColumn="0"/>
              <w:rPr>
                <w:lang w:val="en-US"/>
              </w:rPr>
            </w:pPr>
            <w:r>
              <w:rPr>
                <w:lang w:val="en-US"/>
              </w:rPr>
              <w:t>Open space should not be usable as a parking space.</w:t>
            </w:r>
          </w:p>
        </w:tc>
      </w:tr>
      <w:tr w:rsidR="008544FC" w14:paraId="31061F82" w14:textId="77777777" w:rsidTr="00C559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Pr>
          <w:p w14:paraId="3367AFFA" w14:textId="77777777" w:rsidR="008544FC" w:rsidRDefault="004B2B50" w:rsidP="00815958">
            <w:pPr>
              <w:rPr>
                <w:lang w:val="en-US"/>
              </w:rPr>
            </w:pPr>
            <w:r>
              <w:rPr>
                <w:lang w:val="en-US"/>
              </w:rPr>
              <w:t>Landscaping</w:t>
            </w:r>
          </w:p>
        </w:tc>
        <w:tc>
          <w:tcPr>
            <w:tcW w:w="8930" w:type="dxa"/>
          </w:tcPr>
          <w:p w14:paraId="2BD6EA8E" w14:textId="77777777" w:rsidR="008544FC" w:rsidRDefault="008652DD" w:rsidP="00815958">
            <w:pPr>
              <w:cnfStyle w:val="000000100000" w:firstRow="0" w:lastRow="0" w:firstColumn="0" w:lastColumn="0" w:oddVBand="0" w:evenVBand="0" w:oddHBand="1" w:evenHBand="0" w:firstRowFirstColumn="0" w:firstRowLastColumn="0" w:lastRowFirstColumn="0" w:lastRowLastColumn="0"/>
              <w:rPr>
                <w:lang w:val="en-US"/>
              </w:rPr>
            </w:pPr>
            <w:r>
              <w:rPr>
                <w:lang w:val="en-US"/>
              </w:rPr>
              <w:t>Exterior side yards on corner lots should be designed and treated as the main entrance to the garden suite.  Screening and landscaping between the street and outdoor space should be used to define the transition from public to private space.</w:t>
            </w:r>
          </w:p>
          <w:p w14:paraId="6EF1102A" w14:textId="77777777" w:rsidR="00CF7BBC" w:rsidRDefault="00CF7BBC" w:rsidP="00815958">
            <w:pPr>
              <w:cnfStyle w:val="000000100000" w:firstRow="0" w:lastRow="0" w:firstColumn="0" w:lastColumn="0" w:oddVBand="0" w:evenVBand="0" w:oddHBand="1" w:evenHBand="0" w:firstRowFirstColumn="0" w:firstRowLastColumn="0" w:lastRowFirstColumn="0" w:lastRowLastColumn="0"/>
              <w:rPr>
                <w:lang w:val="en-US"/>
              </w:rPr>
            </w:pPr>
          </w:p>
        </w:tc>
      </w:tr>
      <w:tr w:rsidR="0034712C" w14:paraId="5B6149BE" w14:textId="77777777" w:rsidTr="00C55925">
        <w:trPr>
          <w:trHeight w:val="283"/>
        </w:trPr>
        <w:tc>
          <w:tcPr>
            <w:cnfStyle w:val="001000000000" w:firstRow="0" w:lastRow="0" w:firstColumn="1" w:lastColumn="0" w:oddVBand="0" w:evenVBand="0" w:oddHBand="0" w:evenHBand="0" w:firstRowFirstColumn="0" w:firstRowLastColumn="0" w:lastRowFirstColumn="0" w:lastRowLastColumn="0"/>
            <w:tcW w:w="4219" w:type="dxa"/>
          </w:tcPr>
          <w:p w14:paraId="52F388A1" w14:textId="77777777" w:rsidR="0034712C" w:rsidRDefault="0083774D" w:rsidP="00815958">
            <w:pPr>
              <w:rPr>
                <w:lang w:val="en-US"/>
              </w:rPr>
            </w:pPr>
            <w:r>
              <w:rPr>
                <w:lang w:val="en-US"/>
              </w:rPr>
              <w:t>Energy efficiency</w:t>
            </w:r>
          </w:p>
        </w:tc>
        <w:tc>
          <w:tcPr>
            <w:tcW w:w="8930" w:type="dxa"/>
          </w:tcPr>
          <w:p w14:paraId="63CD707D" w14:textId="77777777" w:rsidR="0034712C" w:rsidRDefault="00B867D2" w:rsidP="00815958">
            <w:pPr>
              <w:cnfStyle w:val="000000000000" w:firstRow="0" w:lastRow="0" w:firstColumn="0" w:lastColumn="0" w:oddVBand="0" w:evenVBand="0" w:oddHBand="0" w:evenHBand="0" w:firstRowFirstColumn="0" w:firstRowLastColumn="0" w:lastRowFirstColumn="0" w:lastRowLastColumn="0"/>
              <w:rPr>
                <w:lang w:val="en-US"/>
              </w:rPr>
            </w:pPr>
            <w:r>
              <w:rPr>
                <w:lang w:val="en-US"/>
              </w:rPr>
              <w:t>Designs which incorporate as many of the green building features outlined on the Green Building Checklist as possible are encouraged.</w:t>
            </w:r>
          </w:p>
        </w:tc>
      </w:tr>
      <w:tr w:rsidR="0034712C" w14:paraId="76D06203" w14:textId="77777777" w:rsidTr="00C559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Pr>
          <w:p w14:paraId="3E56F22A" w14:textId="77777777" w:rsidR="0034712C" w:rsidRDefault="0083774D" w:rsidP="00815958">
            <w:pPr>
              <w:rPr>
                <w:lang w:val="en-US"/>
              </w:rPr>
            </w:pPr>
            <w:r>
              <w:rPr>
                <w:lang w:val="en-US"/>
              </w:rPr>
              <w:t>Projections (bay windows etc.)</w:t>
            </w:r>
          </w:p>
        </w:tc>
        <w:tc>
          <w:tcPr>
            <w:tcW w:w="8930" w:type="dxa"/>
          </w:tcPr>
          <w:p w14:paraId="2894FD91" w14:textId="77777777" w:rsidR="0034712C" w:rsidRDefault="008652DD" w:rsidP="00815958">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Where dormers are used to provide interior room height, the exterior face of the dormer should be set back a minimum of 0.6 m from the exterior wall edge, and 1.2 </w:t>
            </w:r>
            <w:proofErr w:type="spellStart"/>
            <w:r>
              <w:rPr>
                <w:lang w:val="en-US"/>
              </w:rPr>
              <w:t>metres</w:t>
            </w:r>
            <w:proofErr w:type="spellEnd"/>
            <w:r>
              <w:rPr>
                <w:lang w:val="en-US"/>
              </w:rPr>
              <w:t xml:space="preserve"> from projecting roof eaves.</w:t>
            </w:r>
          </w:p>
        </w:tc>
      </w:tr>
      <w:tr w:rsidR="0034712C" w14:paraId="73B6B4A1" w14:textId="77777777" w:rsidTr="00C55925">
        <w:trPr>
          <w:trHeight w:val="283"/>
        </w:trPr>
        <w:tc>
          <w:tcPr>
            <w:cnfStyle w:val="001000000000" w:firstRow="0" w:lastRow="0" w:firstColumn="1" w:lastColumn="0" w:oddVBand="0" w:evenVBand="0" w:oddHBand="0" w:evenHBand="0" w:firstRowFirstColumn="0" w:firstRowLastColumn="0" w:lastRowFirstColumn="0" w:lastRowLastColumn="0"/>
            <w:tcW w:w="4219" w:type="dxa"/>
          </w:tcPr>
          <w:p w14:paraId="334D1217" w14:textId="77777777" w:rsidR="0034712C" w:rsidRDefault="00297C98" w:rsidP="00815958">
            <w:pPr>
              <w:rPr>
                <w:lang w:val="en-US"/>
              </w:rPr>
            </w:pPr>
            <w:r>
              <w:rPr>
                <w:lang w:val="en-US"/>
              </w:rPr>
              <w:t>Garbage and recycling</w:t>
            </w:r>
          </w:p>
        </w:tc>
        <w:tc>
          <w:tcPr>
            <w:tcW w:w="8930" w:type="dxa"/>
          </w:tcPr>
          <w:p w14:paraId="2EBBBFB8" w14:textId="77777777" w:rsidR="0034712C" w:rsidRDefault="00CF7BBC" w:rsidP="003D3D9D">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Garbage and recycling </w:t>
            </w:r>
            <w:r w:rsidR="003D3D9D">
              <w:rPr>
                <w:lang w:val="en-US"/>
              </w:rPr>
              <w:t>collection areas</w:t>
            </w:r>
            <w:r>
              <w:rPr>
                <w:lang w:val="en-US"/>
              </w:rPr>
              <w:t xml:space="preserve"> must be provided onsite and must be screened from view.</w:t>
            </w:r>
          </w:p>
        </w:tc>
      </w:tr>
      <w:tr w:rsidR="00B867D2" w14:paraId="70F9FB40" w14:textId="77777777" w:rsidTr="00C5592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dxa"/>
          </w:tcPr>
          <w:p w14:paraId="433C8CEF" w14:textId="77777777" w:rsidR="00B867D2" w:rsidRDefault="00B867D2" w:rsidP="00815958">
            <w:pPr>
              <w:rPr>
                <w:lang w:val="en-US"/>
              </w:rPr>
            </w:pPr>
            <w:r>
              <w:rPr>
                <w:lang w:val="en-US"/>
              </w:rPr>
              <w:t>Servicing</w:t>
            </w:r>
          </w:p>
        </w:tc>
        <w:tc>
          <w:tcPr>
            <w:tcW w:w="8930" w:type="dxa"/>
          </w:tcPr>
          <w:p w14:paraId="04F77DD3" w14:textId="77777777" w:rsidR="00B867D2" w:rsidRDefault="008A25D3" w:rsidP="008A25D3">
            <w:pPr>
              <w:cnfStyle w:val="000000100000" w:firstRow="0" w:lastRow="0" w:firstColumn="0" w:lastColumn="0" w:oddVBand="0" w:evenVBand="0" w:oddHBand="1" w:evenHBand="0" w:firstRowFirstColumn="0" w:firstRowLastColumn="0" w:lastRowFirstColumn="0" w:lastRowLastColumn="0"/>
              <w:rPr>
                <w:lang w:val="en-US"/>
              </w:rPr>
            </w:pPr>
            <w:r>
              <w:rPr>
                <w:lang w:val="en-US"/>
              </w:rPr>
              <w:t>Services shall be shared with the principal dwelling.</w:t>
            </w:r>
          </w:p>
          <w:p w14:paraId="25A2C8B1" w14:textId="77777777" w:rsidR="008A25D3" w:rsidRDefault="008A25D3" w:rsidP="008A25D3">
            <w:pPr>
              <w:cnfStyle w:val="000000100000" w:firstRow="0" w:lastRow="0" w:firstColumn="0" w:lastColumn="0" w:oddVBand="0" w:evenVBand="0" w:oddHBand="1" w:evenHBand="0" w:firstRowFirstColumn="0" w:firstRowLastColumn="0" w:lastRowFirstColumn="0" w:lastRowLastColumn="0"/>
              <w:rPr>
                <w:lang w:val="en-US"/>
              </w:rPr>
            </w:pPr>
            <w:r w:rsidRPr="008A25D3">
              <w:rPr>
                <w:lang w:val="en-US"/>
              </w:rPr>
              <w:t>Underground wiring must be provided to the garden suite.</w:t>
            </w:r>
          </w:p>
        </w:tc>
      </w:tr>
    </w:tbl>
    <w:p w14:paraId="4128B4FF" w14:textId="77777777" w:rsidR="00596E66" w:rsidRDefault="00596E66" w:rsidP="00596E66">
      <w:pPr>
        <w:pStyle w:val="ListParagraph"/>
        <w:numPr>
          <w:ilvl w:val="0"/>
          <w:numId w:val="0"/>
        </w:numPr>
        <w:ind w:left="720"/>
        <w:rPr>
          <w:lang w:val="en-US"/>
        </w:rPr>
      </w:pPr>
    </w:p>
    <w:p w14:paraId="51B46018" w14:textId="77777777" w:rsidR="00297C98" w:rsidRPr="004B2B50" w:rsidRDefault="00297C98" w:rsidP="00815958">
      <w:pPr>
        <w:rPr>
          <w:b/>
          <w:lang w:val="en-US"/>
        </w:rPr>
      </w:pPr>
    </w:p>
    <w:sectPr w:rsidR="00297C98" w:rsidRPr="004B2B50" w:rsidSect="00A84BF5">
      <w:headerReference w:type="even" r:id="rId8"/>
      <w:headerReference w:type="default" r:id="rId9"/>
      <w:footerReference w:type="even" r:id="rId10"/>
      <w:footerReference w:type="default" r:id="rId11"/>
      <w:headerReference w:type="first" r:id="rId12"/>
      <w:footerReference w:type="first" r:id="rId13"/>
      <w:pgSz w:w="15840" w:h="12240"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7B0AD" w14:textId="77777777" w:rsidR="00C6548C" w:rsidRDefault="00C6548C" w:rsidP="002B054D">
      <w:r>
        <w:separator/>
      </w:r>
    </w:p>
  </w:endnote>
  <w:endnote w:type="continuationSeparator" w:id="0">
    <w:p w14:paraId="1C7DA79C" w14:textId="77777777" w:rsidR="00C6548C" w:rsidRDefault="00C6548C" w:rsidP="002B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DBA71" w14:textId="77777777" w:rsidR="001D4C3B" w:rsidRDefault="001D4C3B" w:rsidP="002B0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2AF89" w14:textId="77777777" w:rsidR="001D4C3B" w:rsidRDefault="001D4C3B" w:rsidP="002B0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372E9" w14:textId="77777777" w:rsidR="001D4C3B" w:rsidRDefault="001D4C3B" w:rsidP="002B0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81EA4" w14:textId="77777777" w:rsidR="00C6548C" w:rsidRDefault="00C6548C" w:rsidP="002B054D">
      <w:r>
        <w:separator/>
      </w:r>
    </w:p>
  </w:footnote>
  <w:footnote w:type="continuationSeparator" w:id="0">
    <w:p w14:paraId="7E79588F" w14:textId="77777777" w:rsidR="00C6548C" w:rsidRDefault="00C6548C" w:rsidP="002B0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862F0" w14:textId="77777777" w:rsidR="001D4C3B" w:rsidRDefault="001D4C3B" w:rsidP="002B0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C706D" w14:textId="77777777" w:rsidR="001D4C3B" w:rsidRDefault="001D4C3B" w:rsidP="002B0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8A06E" w14:textId="77777777" w:rsidR="001D4C3B" w:rsidRDefault="001D4C3B" w:rsidP="002B0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36A8F"/>
    <w:multiLevelType w:val="hybridMultilevel"/>
    <w:tmpl w:val="7C6005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BC499C"/>
    <w:multiLevelType w:val="hybridMultilevel"/>
    <w:tmpl w:val="2758A13E"/>
    <w:lvl w:ilvl="0" w:tplc="D414AB38">
      <w:start w:val="2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8E14F8"/>
    <w:multiLevelType w:val="hybridMultilevel"/>
    <w:tmpl w:val="AB1CFFA8"/>
    <w:lvl w:ilvl="0" w:tplc="89F62CB0">
      <w:start w:val="20"/>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36CB37EF"/>
    <w:multiLevelType w:val="hybridMultilevel"/>
    <w:tmpl w:val="88DE2D0A"/>
    <w:lvl w:ilvl="0" w:tplc="5DB08CD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E83353B"/>
    <w:multiLevelType w:val="hybridMultilevel"/>
    <w:tmpl w:val="A14C4F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C1C3CE8"/>
    <w:multiLevelType w:val="hybridMultilevel"/>
    <w:tmpl w:val="A94675AA"/>
    <w:lvl w:ilvl="0" w:tplc="E72AFD44">
      <w:start w:val="2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0B"/>
    <w:rsid w:val="00002527"/>
    <w:rsid w:val="00025624"/>
    <w:rsid w:val="00097747"/>
    <w:rsid w:val="000B0CA7"/>
    <w:rsid w:val="000D25F4"/>
    <w:rsid w:val="000F5CBC"/>
    <w:rsid w:val="00162AC5"/>
    <w:rsid w:val="00196878"/>
    <w:rsid w:val="001A0CD6"/>
    <w:rsid w:val="001B5794"/>
    <w:rsid w:val="001C0245"/>
    <w:rsid w:val="001D4C3B"/>
    <w:rsid w:val="00275AE9"/>
    <w:rsid w:val="0028004D"/>
    <w:rsid w:val="00297C98"/>
    <w:rsid w:val="002B054D"/>
    <w:rsid w:val="002B5674"/>
    <w:rsid w:val="002F10DE"/>
    <w:rsid w:val="002F5C3C"/>
    <w:rsid w:val="00335341"/>
    <w:rsid w:val="0034712C"/>
    <w:rsid w:val="0039300B"/>
    <w:rsid w:val="00397656"/>
    <w:rsid w:val="003D3D9D"/>
    <w:rsid w:val="0040770B"/>
    <w:rsid w:val="00445CFF"/>
    <w:rsid w:val="00455BEF"/>
    <w:rsid w:val="00472CE9"/>
    <w:rsid w:val="00480A3D"/>
    <w:rsid w:val="004B2B50"/>
    <w:rsid w:val="004D0FA8"/>
    <w:rsid w:val="00526522"/>
    <w:rsid w:val="0053302D"/>
    <w:rsid w:val="0055288D"/>
    <w:rsid w:val="00555E3E"/>
    <w:rsid w:val="00596E66"/>
    <w:rsid w:val="005B4EFF"/>
    <w:rsid w:val="00600C3F"/>
    <w:rsid w:val="006023CE"/>
    <w:rsid w:val="006152EA"/>
    <w:rsid w:val="00631409"/>
    <w:rsid w:val="00632874"/>
    <w:rsid w:val="006443DF"/>
    <w:rsid w:val="00691CF4"/>
    <w:rsid w:val="006B36C9"/>
    <w:rsid w:val="007760D3"/>
    <w:rsid w:val="007D19C2"/>
    <w:rsid w:val="007E0B78"/>
    <w:rsid w:val="007E6FDC"/>
    <w:rsid w:val="00805328"/>
    <w:rsid w:val="00815958"/>
    <w:rsid w:val="0083774D"/>
    <w:rsid w:val="008544FC"/>
    <w:rsid w:val="008652DD"/>
    <w:rsid w:val="008A25D3"/>
    <w:rsid w:val="008A4A25"/>
    <w:rsid w:val="008B2836"/>
    <w:rsid w:val="008D1DFC"/>
    <w:rsid w:val="008D666F"/>
    <w:rsid w:val="0093539D"/>
    <w:rsid w:val="009770BF"/>
    <w:rsid w:val="009802E9"/>
    <w:rsid w:val="00A06D79"/>
    <w:rsid w:val="00A2220A"/>
    <w:rsid w:val="00A22634"/>
    <w:rsid w:val="00A84BF5"/>
    <w:rsid w:val="00AB2A06"/>
    <w:rsid w:val="00B60626"/>
    <w:rsid w:val="00B867D2"/>
    <w:rsid w:val="00BA7A86"/>
    <w:rsid w:val="00BB29CD"/>
    <w:rsid w:val="00BB6D10"/>
    <w:rsid w:val="00BE7E28"/>
    <w:rsid w:val="00BF3A3F"/>
    <w:rsid w:val="00C2607B"/>
    <w:rsid w:val="00C5570B"/>
    <w:rsid w:val="00C55925"/>
    <w:rsid w:val="00C6548C"/>
    <w:rsid w:val="00C779E6"/>
    <w:rsid w:val="00C8453A"/>
    <w:rsid w:val="00C92E44"/>
    <w:rsid w:val="00C960DD"/>
    <w:rsid w:val="00CC0008"/>
    <w:rsid w:val="00CC5D33"/>
    <w:rsid w:val="00CF7BBC"/>
    <w:rsid w:val="00D00183"/>
    <w:rsid w:val="00D10732"/>
    <w:rsid w:val="00DD369F"/>
    <w:rsid w:val="00DD5BB1"/>
    <w:rsid w:val="00DE426B"/>
    <w:rsid w:val="00E01F18"/>
    <w:rsid w:val="00E17950"/>
    <w:rsid w:val="00E42884"/>
    <w:rsid w:val="00ED7BB5"/>
    <w:rsid w:val="00FD70BC"/>
    <w:rsid w:val="00FE71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E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CA"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874"/>
    <w:rPr>
      <w:rFonts w:ascii="Arial" w:hAnsi="Arial"/>
    </w:rPr>
  </w:style>
  <w:style w:type="paragraph" w:styleId="Heading1">
    <w:name w:val="heading 1"/>
    <w:next w:val="Normal"/>
    <w:link w:val="Heading1Char"/>
    <w:autoRedefine/>
    <w:uiPriority w:val="9"/>
    <w:qFormat/>
    <w:rsid w:val="00632874"/>
    <w:pPr>
      <w:keepNext/>
      <w:keepLines/>
      <w:outlineLvl w:val="0"/>
    </w:pPr>
    <w:rPr>
      <w:rFonts w:ascii="Arial" w:eastAsiaTheme="majorEastAsia" w:hAnsi="Arial" w:cstheme="majorBidi"/>
      <w:b/>
      <w:bCs/>
      <w:sz w:val="44"/>
      <w:szCs w:val="20"/>
    </w:rPr>
  </w:style>
  <w:style w:type="paragraph" w:styleId="Heading2">
    <w:name w:val="heading 2"/>
    <w:next w:val="Normal"/>
    <w:link w:val="Heading2Char"/>
    <w:autoRedefine/>
    <w:uiPriority w:val="9"/>
    <w:unhideWhenUsed/>
    <w:qFormat/>
    <w:rsid w:val="001D4C3B"/>
    <w:pPr>
      <w:keepNext/>
      <w:keepLines/>
      <w:spacing w:before="200"/>
      <w:contextualSpacing/>
      <w:outlineLvl w:val="1"/>
    </w:pPr>
    <w:rPr>
      <w:rFonts w:ascii="Arial" w:eastAsiaTheme="majorEastAsia" w:hAnsi="Arial" w:cstheme="majorBidi"/>
      <w:b/>
      <w:bCs/>
      <w:sz w:val="32"/>
      <w:szCs w:val="26"/>
    </w:rPr>
  </w:style>
  <w:style w:type="paragraph" w:styleId="Heading3">
    <w:name w:val="heading 3"/>
    <w:next w:val="Normal"/>
    <w:link w:val="Heading3Char"/>
    <w:autoRedefine/>
    <w:uiPriority w:val="9"/>
    <w:unhideWhenUsed/>
    <w:qFormat/>
    <w:rsid w:val="006023CE"/>
    <w:pPr>
      <w:keepNext/>
      <w:keepLines/>
      <w:contextualSpacing/>
      <w:outlineLvl w:val="2"/>
    </w:pPr>
    <w:rPr>
      <w:rFonts w:ascii="Arial" w:eastAsiaTheme="majorEastAsia" w:hAnsi="Arial" w:cstheme="majorBidi"/>
      <w:b/>
      <w:bCs/>
      <w:sz w:val="26"/>
    </w:rPr>
  </w:style>
  <w:style w:type="paragraph" w:styleId="Heading4">
    <w:name w:val="heading 4"/>
    <w:next w:val="Normal"/>
    <w:link w:val="Heading4Char"/>
    <w:autoRedefine/>
    <w:uiPriority w:val="9"/>
    <w:unhideWhenUsed/>
    <w:qFormat/>
    <w:rsid w:val="006023CE"/>
    <w:pPr>
      <w:keepNext/>
      <w:keepLines/>
      <w:contextualSpacing/>
      <w:outlineLvl w:val="3"/>
    </w:pPr>
    <w:rPr>
      <w:rFonts w:ascii="Arial" w:eastAsiaTheme="majorEastAsia" w:hAnsi="Arial" w:cstheme="majorBidi"/>
      <w:b/>
      <w:bCs/>
      <w:i/>
      <w:iCs/>
    </w:rPr>
  </w:style>
  <w:style w:type="paragraph" w:styleId="Heading5">
    <w:name w:val="heading 5"/>
    <w:basedOn w:val="Normal"/>
    <w:next w:val="Normal"/>
    <w:link w:val="Heading5Char"/>
    <w:autoRedefine/>
    <w:uiPriority w:val="9"/>
    <w:unhideWhenUsed/>
    <w:rsid w:val="00C960DD"/>
    <w:pPr>
      <w:keepNext/>
      <w:keepLines/>
      <w:spacing w:before="200" w:after="0"/>
      <w:outlineLvl w:val="4"/>
    </w:pPr>
    <w:rPr>
      <w:rFonts w:eastAsiaTheme="majorEastAsia" w:cstheme="majorBidi"/>
      <w:color w:val="072957"/>
    </w:rPr>
  </w:style>
  <w:style w:type="paragraph" w:styleId="Heading6">
    <w:name w:val="heading 6"/>
    <w:basedOn w:val="Normal"/>
    <w:next w:val="Normal"/>
    <w:link w:val="Heading6Char"/>
    <w:autoRedefine/>
    <w:uiPriority w:val="9"/>
    <w:unhideWhenUsed/>
    <w:rsid w:val="00C960DD"/>
    <w:pPr>
      <w:keepNext/>
      <w:keepLines/>
      <w:spacing w:before="200" w:after="0"/>
      <w:outlineLvl w:val="5"/>
    </w:pPr>
    <w:rPr>
      <w:rFonts w:eastAsiaTheme="majorEastAsia" w:cstheme="majorBidi"/>
      <w:i/>
      <w:iCs/>
      <w:color w:val="072957"/>
    </w:rPr>
  </w:style>
  <w:style w:type="paragraph" w:styleId="Heading7">
    <w:name w:val="heading 7"/>
    <w:basedOn w:val="Normal"/>
    <w:next w:val="Normal"/>
    <w:link w:val="Heading7Char"/>
    <w:autoRedefine/>
    <w:uiPriority w:val="9"/>
    <w:unhideWhenUsed/>
    <w:rsid w:val="00C960DD"/>
    <w:pPr>
      <w:keepNext/>
      <w:keepLines/>
      <w:spacing w:before="200" w:after="0"/>
      <w:outlineLvl w:val="6"/>
    </w:pPr>
    <w:rPr>
      <w:rFonts w:eastAsiaTheme="majorEastAsia" w:cstheme="majorBidi"/>
      <w:i/>
      <w:iCs/>
    </w:rPr>
  </w:style>
  <w:style w:type="paragraph" w:styleId="Heading8">
    <w:name w:val="heading 8"/>
    <w:basedOn w:val="Normal"/>
    <w:next w:val="Normal"/>
    <w:link w:val="Heading8Char"/>
    <w:autoRedefine/>
    <w:uiPriority w:val="9"/>
    <w:unhideWhenUsed/>
    <w:rsid w:val="00C960DD"/>
    <w:pPr>
      <w:keepNext/>
      <w:keepLines/>
      <w:spacing w:before="200" w:after="0"/>
      <w:outlineLvl w:val="7"/>
    </w:pPr>
    <w:rPr>
      <w:rFonts w:eastAsiaTheme="majorEastAsia" w:cstheme="majorBidi"/>
      <w:sz w:val="20"/>
      <w:szCs w:val="20"/>
    </w:rPr>
  </w:style>
  <w:style w:type="paragraph" w:styleId="Heading9">
    <w:name w:val="heading 9"/>
    <w:basedOn w:val="Normal"/>
    <w:next w:val="Normal"/>
    <w:link w:val="Heading9Char"/>
    <w:autoRedefine/>
    <w:uiPriority w:val="9"/>
    <w:unhideWhenUsed/>
    <w:rsid w:val="00C960DD"/>
    <w:pPr>
      <w:keepNext/>
      <w:keepLines/>
      <w:spacing w:before="200" w:after="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rsid w:val="00002527"/>
    <w:pPr>
      <w:spacing w:after="0"/>
      <w:contextualSpacing/>
    </w:pPr>
  </w:style>
  <w:style w:type="character" w:customStyle="1" w:styleId="Heading1Char">
    <w:name w:val="Heading 1 Char"/>
    <w:basedOn w:val="DefaultParagraphFont"/>
    <w:link w:val="Heading1"/>
    <w:uiPriority w:val="9"/>
    <w:rsid w:val="00632874"/>
    <w:rPr>
      <w:rFonts w:ascii="Arial" w:eastAsiaTheme="majorEastAsia" w:hAnsi="Arial" w:cstheme="majorBidi"/>
      <w:b/>
      <w:bCs/>
      <w:sz w:val="44"/>
      <w:szCs w:val="20"/>
    </w:rPr>
  </w:style>
  <w:style w:type="character" w:customStyle="1" w:styleId="Heading2Char">
    <w:name w:val="Heading 2 Char"/>
    <w:basedOn w:val="DefaultParagraphFont"/>
    <w:link w:val="Heading2"/>
    <w:uiPriority w:val="9"/>
    <w:rsid w:val="001D4C3B"/>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6023C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6023CE"/>
    <w:rPr>
      <w:rFonts w:ascii="Arial" w:eastAsiaTheme="majorEastAsia" w:hAnsi="Arial" w:cstheme="majorBidi"/>
      <w:b/>
      <w:bCs/>
      <w:i/>
      <w:iCs/>
    </w:rPr>
  </w:style>
  <w:style w:type="character" w:customStyle="1" w:styleId="Heading5Char">
    <w:name w:val="Heading 5 Char"/>
    <w:basedOn w:val="DefaultParagraphFont"/>
    <w:link w:val="Heading5"/>
    <w:uiPriority w:val="9"/>
    <w:rsid w:val="00C960DD"/>
    <w:rPr>
      <w:rFonts w:eastAsiaTheme="majorEastAsia" w:cstheme="majorBidi"/>
      <w:color w:val="072957"/>
    </w:rPr>
  </w:style>
  <w:style w:type="character" w:customStyle="1" w:styleId="Heading6Char">
    <w:name w:val="Heading 6 Char"/>
    <w:basedOn w:val="DefaultParagraphFont"/>
    <w:link w:val="Heading6"/>
    <w:uiPriority w:val="9"/>
    <w:rsid w:val="00C960DD"/>
    <w:rPr>
      <w:rFonts w:eastAsiaTheme="majorEastAsia" w:cstheme="majorBidi"/>
      <w:i/>
      <w:iCs/>
      <w:color w:val="072957"/>
    </w:rPr>
  </w:style>
  <w:style w:type="character" w:customStyle="1" w:styleId="Heading7Char">
    <w:name w:val="Heading 7 Char"/>
    <w:basedOn w:val="DefaultParagraphFont"/>
    <w:link w:val="Heading7"/>
    <w:uiPriority w:val="9"/>
    <w:rsid w:val="00C960DD"/>
    <w:rPr>
      <w:rFonts w:eastAsiaTheme="majorEastAsia" w:cstheme="majorBidi"/>
      <w:i/>
      <w:iCs/>
    </w:rPr>
  </w:style>
  <w:style w:type="character" w:customStyle="1" w:styleId="Heading8Char">
    <w:name w:val="Heading 8 Char"/>
    <w:basedOn w:val="DefaultParagraphFont"/>
    <w:link w:val="Heading8"/>
    <w:uiPriority w:val="9"/>
    <w:rsid w:val="00C960DD"/>
    <w:rPr>
      <w:rFonts w:eastAsiaTheme="majorEastAsia" w:cstheme="majorBidi"/>
      <w:sz w:val="20"/>
      <w:szCs w:val="20"/>
    </w:rPr>
  </w:style>
  <w:style w:type="character" w:customStyle="1" w:styleId="Heading9Char">
    <w:name w:val="Heading 9 Char"/>
    <w:basedOn w:val="DefaultParagraphFont"/>
    <w:link w:val="Heading9"/>
    <w:uiPriority w:val="9"/>
    <w:rsid w:val="00C960DD"/>
    <w:rPr>
      <w:rFonts w:eastAsiaTheme="majorEastAsia" w:cstheme="majorBidi"/>
      <w:i/>
      <w:iCs/>
      <w:sz w:val="20"/>
      <w:szCs w:val="20"/>
    </w:rPr>
  </w:style>
  <w:style w:type="character" w:styleId="IntenseEmphasis">
    <w:name w:val="Intense Emphasis"/>
    <w:basedOn w:val="DefaultParagraphFont"/>
    <w:uiPriority w:val="21"/>
    <w:rsid w:val="0055288D"/>
    <w:rPr>
      <w:b/>
      <w:bCs/>
      <w:i/>
      <w:iCs/>
      <w:color w:val="072957"/>
    </w:rPr>
  </w:style>
  <w:style w:type="paragraph" w:styleId="IntenseQuote">
    <w:name w:val="Intense Quote"/>
    <w:basedOn w:val="Normal"/>
    <w:next w:val="Normal"/>
    <w:link w:val="IntenseQuoteChar"/>
    <w:autoRedefine/>
    <w:uiPriority w:val="30"/>
    <w:rsid w:val="0055288D"/>
    <w:pPr>
      <w:pBdr>
        <w:bottom w:val="single" w:sz="4" w:space="4" w:color="4F81BD" w:themeColor="accent1"/>
      </w:pBdr>
      <w:spacing w:before="200" w:after="280"/>
      <w:ind w:left="936" w:right="936"/>
    </w:pPr>
    <w:rPr>
      <w:b/>
      <w:bCs/>
      <w:i/>
      <w:iCs/>
      <w:color w:val="072957"/>
    </w:rPr>
  </w:style>
  <w:style w:type="character" w:customStyle="1" w:styleId="IntenseQuoteChar">
    <w:name w:val="Intense Quote Char"/>
    <w:basedOn w:val="DefaultParagraphFont"/>
    <w:link w:val="IntenseQuote"/>
    <w:uiPriority w:val="30"/>
    <w:rsid w:val="0055288D"/>
    <w:rPr>
      <w:b/>
      <w:bCs/>
      <w:i/>
      <w:iCs/>
      <w:color w:val="072957"/>
    </w:rPr>
  </w:style>
  <w:style w:type="character" w:styleId="SubtleReference">
    <w:name w:val="Subtle Reference"/>
    <w:basedOn w:val="DefaultParagraphFont"/>
    <w:uiPriority w:val="31"/>
    <w:rsid w:val="0055288D"/>
    <w:rPr>
      <w:smallCaps/>
      <w:color w:val="990000"/>
      <w:u w:val="single"/>
    </w:rPr>
  </w:style>
  <w:style w:type="character" w:styleId="IntenseReference">
    <w:name w:val="Intense Reference"/>
    <w:basedOn w:val="DefaultParagraphFont"/>
    <w:uiPriority w:val="32"/>
    <w:rsid w:val="0055288D"/>
    <w:rPr>
      <w:b/>
      <w:bCs/>
      <w:smallCaps/>
      <w:color w:val="990000"/>
      <w:spacing w:val="5"/>
      <w:u w:val="single"/>
    </w:rPr>
  </w:style>
  <w:style w:type="paragraph" w:styleId="Header">
    <w:name w:val="header"/>
    <w:basedOn w:val="Normal"/>
    <w:link w:val="HeaderChar"/>
    <w:uiPriority w:val="99"/>
    <w:unhideWhenUsed/>
    <w:rsid w:val="000B0CA7"/>
    <w:pPr>
      <w:tabs>
        <w:tab w:val="center" w:pos="4680"/>
        <w:tab w:val="right" w:pos="9360"/>
      </w:tabs>
      <w:spacing w:after="0"/>
    </w:pPr>
  </w:style>
  <w:style w:type="character" w:customStyle="1" w:styleId="HeaderChar">
    <w:name w:val="Header Char"/>
    <w:basedOn w:val="DefaultParagraphFont"/>
    <w:link w:val="Header"/>
    <w:uiPriority w:val="99"/>
    <w:rsid w:val="000B0CA7"/>
  </w:style>
  <w:style w:type="paragraph" w:styleId="Footer">
    <w:name w:val="footer"/>
    <w:basedOn w:val="Normal"/>
    <w:link w:val="FooterChar"/>
    <w:uiPriority w:val="99"/>
    <w:unhideWhenUsed/>
    <w:rsid w:val="000B0CA7"/>
    <w:pPr>
      <w:tabs>
        <w:tab w:val="center" w:pos="4680"/>
        <w:tab w:val="right" w:pos="9360"/>
      </w:tabs>
      <w:spacing w:after="0"/>
    </w:pPr>
  </w:style>
  <w:style w:type="character" w:customStyle="1" w:styleId="FooterChar">
    <w:name w:val="Footer Char"/>
    <w:basedOn w:val="DefaultParagraphFont"/>
    <w:link w:val="Footer"/>
    <w:uiPriority w:val="99"/>
    <w:rsid w:val="000B0CA7"/>
  </w:style>
  <w:style w:type="character" w:styleId="Strong">
    <w:name w:val="Strong"/>
    <w:basedOn w:val="DefaultParagraphFont"/>
    <w:uiPriority w:val="22"/>
    <w:rsid w:val="006152EA"/>
    <w:rPr>
      <w:b/>
      <w:bCs/>
    </w:rPr>
  </w:style>
  <w:style w:type="paragraph" w:styleId="Quote">
    <w:name w:val="Quote"/>
    <w:basedOn w:val="Normal"/>
    <w:next w:val="Normal"/>
    <w:link w:val="QuoteChar"/>
    <w:uiPriority w:val="29"/>
    <w:rsid w:val="006152EA"/>
    <w:rPr>
      <w:i/>
      <w:iCs/>
      <w:color w:val="000000" w:themeColor="text1"/>
    </w:rPr>
  </w:style>
  <w:style w:type="character" w:customStyle="1" w:styleId="QuoteChar">
    <w:name w:val="Quote Char"/>
    <w:basedOn w:val="DefaultParagraphFont"/>
    <w:link w:val="Quote"/>
    <w:uiPriority w:val="29"/>
    <w:rsid w:val="006152EA"/>
    <w:rPr>
      <w:rFonts w:ascii="Arial" w:hAnsi="Arial"/>
      <w:i/>
      <w:iCs/>
      <w:color w:val="000000" w:themeColor="text1"/>
    </w:rPr>
  </w:style>
  <w:style w:type="paragraph" w:styleId="ListParagraph">
    <w:name w:val="List Paragraph"/>
    <w:basedOn w:val="Normal"/>
    <w:uiPriority w:val="34"/>
    <w:rsid w:val="00162AC5"/>
    <w:pPr>
      <w:numPr>
        <w:numId w:val="2"/>
      </w:numPr>
      <w:contextualSpacing/>
    </w:pPr>
  </w:style>
  <w:style w:type="paragraph" w:customStyle="1" w:styleId="MoreInformation">
    <w:name w:val="More Information"/>
    <w:next w:val="Normal"/>
    <w:link w:val="MoreInformationChar"/>
    <w:qFormat/>
    <w:rsid w:val="001D4C3B"/>
    <w:rPr>
      <w:rFonts w:ascii="Arial" w:hAnsi="Arial"/>
      <w:b/>
      <w:i/>
      <w:sz w:val="20"/>
      <w:szCs w:val="20"/>
    </w:rPr>
  </w:style>
  <w:style w:type="paragraph" w:customStyle="1" w:styleId="ContactName">
    <w:name w:val="Contact Name"/>
    <w:next w:val="Normal"/>
    <w:link w:val="ContactNameChar"/>
    <w:qFormat/>
    <w:rsid w:val="00AB2A06"/>
    <w:pPr>
      <w:spacing w:before="40" w:after="40"/>
    </w:pPr>
    <w:rPr>
      <w:rFonts w:ascii="Arial" w:eastAsiaTheme="majorEastAsia" w:hAnsi="Arial" w:cstheme="majorBidi"/>
      <w:bCs/>
      <w:sz w:val="20"/>
      <w:szCs w:val="20"/>
    </w:rPr>
  </w:style>
  <w:style w:type="character" w:customStyle="1" w:styleId="MoreInformationChar">
    <w:name w:val="More Information Char"/>
    <w:basedOn w:val="DefaultParagraphFont"/>
    <w:link w:val="MoreInformation"/>
    <w:rsid w:val="001D4C3B"/>
    <w:rPr>
      <w:rFonts w:ascii="Arial" w:hAnsi="Arial"/>
      <w:b/>
      <w:i/>
      <w:sz w:val="20"/>
      <w:szCs w:val="20"/>
    </w:rPr>
  </w:style>
  <w:style w:type="paragraph" w:customStyle="1" w:styleId="Figurecaptionbelow">
    <w:name w:val="Figure caption (below)"/>
    <w:next w:val="Normal"/>
    <w:link w:val="FigurecaptionbelowChar"/>
    <w:qFormat/>
    <w:rsid w:val="00AB2A06"/>
    <w:rPr>
      <w:rFonts w:ascii="Arial" w:eastAsiaTheme="majorEastAsia" w:hAnsi="Arial" w:cstheme="majorBidi"/>
      <w:bCs/>
      <w:i/>
      <w:sz w:val="18"/>
      <w:szCs w:val="18"/>
    </w:rPr>
  </w:style>
  <w:style w:type="character" w:customStyle="1" w:styleId="ContactNameChar">
    <w:name w:val="Contact Name Char"/>
    <w:basedOn w:val="Heading1Char"/>
    <w:link w:val="ContactName"/>
    <w:rsid w:val="00AB2A06"/>
    <w:rPr>
      <w:rFonts w:ascii="Arial" w:eastAsiaTheme="majorEastAsia" w:hAnsi="Arial" w:cstheme="majorBidi"/>
      <w:b w:val="0"/>
      <w:bCs/>
      <w:sz w:val="20"/>
      <w:szCs w:val="20"/>
    </w:rPr>
  </w:style>
  <w:style w:type="paragraph" w:customStyle="1" w:styleId="TableCaptionabove">
    <w:name w:val="Table Caption (above)"/>
    <w:next w:val="Normal"/>
    <w:link w:val="TableCaptionaboveChar"/>
    <w:qFormat/>
    <w:rsid w:val="00AB2A06"/>
    <w:pPr>
      <w:spacing w:after="40"/>
    </w:pPr>
    <w:rPr>
      <w:rFonts w:ascii="Arial" w:eastAsiaTheme="majorEastAsia" w:hAnsi="Arial" w:cstheme="majorBidi"/>
      <w:b/>
      <w:bCs/>
      <w:caps/>
      <w:sz w:val="16"/>
      <w:szCs w:val="16"/>
    </w:rPr>
  </w:style>
  <w:style w:type="character" w:customStyle="1" w:styleId="FigurecaptionbelowChar">
    <w:name w:val="Figure caption (below) Char"/>
    <w:basedOn w:val="ContactNameChar"/>
    <w:link w:val="Figurecaptionbelow"/>
    <w:rsid w:val="00AB2A06"/>
    <w:rPr>
      <w:rFonts w:ascii="Arial" w:eastAsiaTheme="majorEastAsia" w:hAnsi="Arial" w:cstheme="majorBidi"/>
      <w:b w:val="0"/>
      <w:bCs/>
      <w:i/>
      <w:sz w:val="18"/>
      <w:szCs w:val="18"/>
    </w:rPr>
  </w:style>
  <w:style w:type="character" w:customStyle="1" w:styleId="TableCaptionaboveChar">
    <w:name w:val="Table Caption (above) Char"/>
    <w:basedOn w:val="FigurecaptionbelowChar"/>
    <w:link w:val="TableCaptionabove"/>
    <w:rsid w:val="00AB2A06"/>
    <w:rPr>
      <w:rFonts w:ascii="Arial" w:eastAsiaTheme="majorEastAsia" w:hAnsi="Arial" w:cstheme="majorBidi"/>
      <w:b/>
      <w:bCs/>
      <w:i w:val="0"/>
      <w:caps/>
      <w:sz w:val="16"/>
      <w:szCs w:val="16"/>
    </w:rPr>
  </w:style>
  <w:style w:type="paragraph" w:styleId="BalloonText">
    <w:name w:val="Balloon Text"/>
    <w:basedOn w:val="Normal"/>
    <w:link w:val="BalloonTextChar"/>
    <w:uiPriority w:val="99"/>
    <w:semiHidden/>
    <w:unhideWhenUsed/>
    <w:rsid w:val="00AB2A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A06"/>
    <w:rPr>
      <w:rFonts w:ascii="Tahoma" w:hAnsi="Tahoma" w:cs="Tahoma"/>
      <w:sz w:val="16"/>
      <w:szCs w:val="16"/>
    </w:rPr>
  </w:style>
  <w:style w:type="paragraph" w:styleId="Date">
    <w:name w:val="Date"/>
    <w:basedOn w:val="Normal"/>
    <w:next w:val="Normal"/>
    <w:link w:val="DateChar"/>
    <w:uiPriority w:val="99"/>
    <w:unhideWhenUsed/>
    <w:qFormat/>
    <w:rsid w:val="00632874"/>
    <w:rPr>
      <w:b/>
    </w:rPr>
  </w:style>
  <w:style w:type="character" w:customStyle="1" w:styleId="DateChar">
    <w:name w:val="Date Char"/>
    <w:basedOn w:val="DefaultParagraphFont"/>
    <w:link w:val="Date"/>
    <w:uiPriority w:val="99"/>
    <w:rsid w:val="00632874"/>
    <w:rPr>
      <w:rFonts w:ascii="Arial" w:hAnsi="Arial"/>
      <w:b/>
    </w:rPr>
  </w:style>
  <w:style w:type="table" w:styleId="TableGrid">
    <w:name w:val="Table Grid"/>
    <w:basedOn w:val="TableNormal"/>
    <w:uiPriority w:val="59"/>
    <w:rsid w:val="003930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D7BB5"/>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2BD95-7A8A-4977-B4DF-C7DAE88D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2021-02-19T19:50:00Z</dcterms:created>
  <dcterms:modified xsi:type="dcterms:W3CDTF">2021-02-19T19:50:00Z</dcterms:modified>
</cp:coreProperties>
</file>